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7743B">
      <w:pPr>
        <w:spacing w:before="58"/>
        <w:ind w:right="1882" w:firstLine="1446" w:firstLineChars="400"/>
        <w:jc w:val="both"/>
        <w:rPr>
          <w:rFonts w:hint="eastAsia" w:ascii="方正细等线简体" w:hAnsi="方正细等线简体" w:eastAsia="方正细等线简体" w:cs="方正细等线简体"/>
          <w:b/>
          <w:sz w:val="36"/>
          <w:szCs w:val="36"/>
          <w:u w:val="single"/>
          <w:lang w:val="en-US" w:eastAsia="zh-CN"/>
        </w:rPr>
      </w:pPr>
      <w:r>
        <w:rPr>
          <w:rFonts w:hint="eastAsia" w:ascii="方正细等线简体" w:hAnsi="方正细等线简体" w:eastAsia="方正细等线简体" w:cs="方正细等线简体"/>
          <w:b/>
          <w:sz w:val="36"/>
          <w:szCs w:val="36"/>
          <w:u w:val="single"/>
          <w:lang w:val="en-US" w:eastAsia="zh-CN"/>
        </w:rPr>
        <w:t>贵州高速黔通建设工程有限公司</w:t>
      </w:r>
    </w:p>
    <w:p w14:paraId="112EEB3A">
      <w:pPr>
        <w:keepNext w:val="0"/>
        <w:keepLines w:val="0"/>
        <w:pageBreakBefore w:val="0"/>
        <w:widowControl w:val="0"/>
        <w:kinsoku/>
        <w:wordWrap/>
        <w:overflowPunct/>
        <w:topLinePunct w:val="0"/>
        <w:autoSpaceDE w:val="0"/>
        <w:autoSpaceDN w:val="0"/>
        <w:bidi w:val="0"/>
        <w:adjustRightInd/>
        <w:snapToGrid/>
        <w:ind w:right="0" w:firstLine="1446" w:firstLineChars="400"/>
        <w:jc w:val="both"/>
        <w:textAlignment w:val="auto"/>
        <w:rPr>
          <w:rFonts w:hint="default" w:ascii="方正细等线简体" w:hAnsi="方正细等线简体" w:eastAsia="方正细等线简体" w:cs="方正细等线简体"/>
          <w:b/>
          <w:sz w:val="32"/>
          <w:szCs w:val="28"/>
          <w:lang w:val="en-US" w:eastAsia="zh-CN"/>
        </w:rPr>
      </w:pPr>
      <w:r>
        <w:rPr>
          <w:rFonts w:hint="eastAsia" w:ascii="方正细等线简体" w:hAnsi="方正细等线简体" w:eastAsia="方正细等线简体" w:cs="方正细等线简体"/>
          <w:b/>
          <w:sz w:val="36"/>
          <w:szCs w:val="36"/>
          <w:u w:val="single"/>
          <w:lang w:val="en-US" w:eastAsia="zh-CN"/>
        </w:rPr>
        <w:t>活动护栏、防撞垫材料</w:t>
      </w:r>
      <w:r>
        <w:rPr>
          <w:rFonts w:hint="eastAsia" w:ascii="方正细等线简体" w:hAnsi="方正细等线简体" w:eastAsia="方正细等线简体" w:cs="方正细等线简体"/>
          <w:b/>
          <w:bCs w:val="0"/>
          <w:sz w:val="36"/>
          <w:szCs w:val="36"/>
          <w:u w:val="none"/>
        </w:rPr>
        <w:t>采购</w:t>
      </w:r>
      <w:r>
        <w:rPr>
          <w:rFonts w:hint="eastAsia" w:ascii="方正细等线简体" w:hAnsi="方正细等线简体" w:eastAsia="方正细等线简体" w:cs="方正细等线简体"/>
          <w:b/>
          <w:bCs w:val="0"/>
          <w:sz w:val="36"/>
          <w:szCs w:val="36"/>
          <w:u w:val="none"/>
          <w:lang w:val="en-US" w:eastAsia="zh-CN"/>
        </w:rPr>
        <w:t>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活动护栏、防撞垫材料采购</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w:t>
      </w:r>
      <w:bookmarkStart w:id="0" w:name="_GoBack"/>
      <w:bookmarkEnd w:id="0"/>
      <w:r>
        <w:rPr>
          <w:rFonts w:hint="eastAsia" w:ascii="方正细等线简体" w:hAnsi="方正细等线简体" w:eastAsia="方正细等线简体" w:cs="方正细等线简体"/>
          <w:sz w:val="24"/>
          <w:szCs w:val="24"/>
        </w:rPr>
        <w:t>位参加竞标，现将公告如下：</w:t>
      </w:r>
    </w:p>
    <w:p w14:paraId="43762D9D">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贵州高速黔通建设工程有限公司活动护栏、防撞垫采购项目</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75D91309">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55758553">
      <w:pPr>
        <w:pStyle w:val="5"/>
        <w:spacing w:before="89" w:line="295" w:lineRule="auto"/>
        <w:ind w:right="292" w:firstLine="482" w:firstLineChars="200"/>
        <w:rPr>
          <w:rFonts w:hint="default" w:ascii="方正细等线简体" w:hAnsi="方正细等线简体" w:eastAsia="方正细等线简体" w:cs="方正细等线简体"/>
          <w:b/>
          <w:bCs/>
          <w:color w:val="000000" w:themeColor="text1"/>
          <w:sz w:val="24"/>
          <w:szCs w:val="24"/>
          <w:u w:val="single"/>
          <w:lang w:val="en-US" w:eastAsia="zh-CN"/>
        </w:rPr>
      </w:pPr>
      <w:r>
        <w:rPr>
          <w:rFonts w:hint="eastAsia" w:ascii="方正细等线简体" w:hAnsi="方正细等线简体" w:eastAsia="方正细等线简体" w:cs="方正细等线简体"/>
          <w:b/>
          <w:bCs/>
          <w:color w:val="000000" w:themeColor="text1"/>
          <w:sz w:val="24"/>
          <w:szCs w:val="24"/>
          <w:lang w:val="en-US"/>
        </w:rPr>
        <w:t>3、项目概况</w:t>
      </w:r>
      <w:r>
        <w:rPr>
          <w:rFonts w:hint="eastAsia" w:ascii="方正细等线简体" w:hAnsi="方正细等线简体" w:eastAsia="方正细等线简体" w:cs="方正细等线简体"/>
          <w:b/>
          <w:bCs/>
          <w:color w:val="000000" w:themeColor="text1"/>
          <w:sz w:val="24"/>
          <w:szCs w:val="24"/>
          <w:lang w:val="en-US" w:eastAsia="zh-CN"/>
        </w:rPr>
        <w:t>：</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       </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贵州高速黔通建设工程有限公司</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sz w:val="24"/>
          <w:szCs w:val="24"/>
          <w:u w:val="single"/>
          <w:lang w:val="en-US" w:eastAsia="zh-CN"/>
        </w:rPr>
        <w:t>详见第四章：项目需求</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项目所在地   </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sz w:val="24"/>
          <w:szCs w:val="24"/>
          <w:highlight w:val="none"/>
          <w:u w:val="single"/>
          <w:lang w:val="en-US" w:eastAsia="zh-CN"/>
        </w:rPr>
        <w:t xml:space="preserve"> 活动护栏、防撞垫材料  </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（13</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sz w:val="24"/>
          <w:szCs w:val="24"/>
          <w:lang w:val="en-US"/>
        </w:rPr>
        <w:t>数量根据实际</w:t>
      </w:r>
      <w:r>
        <w:rPr>
          <w:rFonts w:hint="eastAsia" w:ascii="方正细等线简体" w:hAnsi="方正细等线简体" w:eastAsia="方正细等线简体" w:cs="方正细等线简体"/>
          <w:color w:val="000000"/>
          <w:sz w:val="24"/>
          <w:szCs w:val="24"/>
          <w:lang w:val="en-US" w:eastAsia="zh-CN"/>
        </w:rPr>
        <w:t>收货</w:t>
      </w:r>
      <w:r>
        <w:rPr>
          <w:rFonts w:hint="eastAsia" w:ascii="方正细等线简体" w:hAnsi="方正细等线简体" w:eastAsia="方正细等线简体" w:cs="方正细等线简体"/>
          <w:color w:val="000000"/>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04E53A26">
      <w:pPr>
        <w:spacing w:line="520" w:lineRule="exact"/>
        <w:ind w:firstLine="480"/>
        <w:rPr>
          <w:rFonts w:hint="eastAsia" w:ascii="方正细等线简体" w:hAnsi="方正细等线简体" w:eastAsia="方正细等线简体" w:cs="方正细等线简体"/>
          <w:color w:val="000000" w:themeColor="text1"/>
          <w:sz w:val="24"/>
          <w:szCs w:val="24"/>
          <w:u w:val="single"/>
          <w:lang w:val="en-US"/>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auto"/>
          <w:kern w:val="56"/>
          <w:sz w:val="24"/>
          <w:szCs w:val="24"/>
          <w:u w:val="single"/>
          <w:lang w:val="en-US" w:eastAsia="zh-CN" w:bidi="ar-SA"/>
        </w:rPr>
        <w:t>先货后款结算，在甲方正常获得业主单位工程计量的情况下，乙方应得款项按以下进度支付：次月支付经确认应付账款的80%；剩余20%的货款在交工验收后60个工作日内决算</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供应商</w:t>
      </w:r>
      <w:r>
        <w:rPr>
          <w:rFonts w:hint="eastAsia" w:ascii="方正细等线简体" w:hAnsi="方正细等线简体" w:eastAsia="方正细等线简体" w:cs="方正细等线简体"/>
          <w:color w:val="auto"/>
          <w:kern w:val="56"/>
          <w:sz w:val="24"/>
          <w:szCs w:val="24"/>
          <w:u w:val="single"/>
          <w:lang w:val="zh-CN" w:eastAsia="zh-CN" w:bidi="ar-SA"/>
        </w:rPr>
        <w:t>按照合同约定的时间交付</w:t>
      </w:r>
      <w:r>
        <w:rPr>
          <w:rFonts w:hint="eastAsia" w:ascii="方正细等线简体" w:hAnsi="方正细等线简体" w:eastAsia="方正细等线简体" w:cs="方正细等线简体"/>
          <w:color w:val="auto"/>
          <w:kern w:val="56"/>
          <w:sz w:val="24"/>
          <w:szCs w:val="24"/>
          <w:u w:val="single"/>
          <w:lang w:val="en-US" w:eastAsia="zh-CN" w:bidi="ar-SA"/>
        </w:rPr>
        <w:t>与安装，</w:t>
      </w:r>
      <w:r>
        <w:rPr>
          <w:rFonts w:hint="eastAsia" w:ascii="方正细等线简体" w:hAnsi="方正细等线简体" w:eastAsia="方正细等线简体" w:cs="方正细等线简体"/>
          <w:color w:val="auto"/>
          <w:kern w:val="56"/>
          <w:sz w:val="24"/>
          <w:szCs w:val="24"/>
          <w:u w:val="single"/>
          <w:lang w:val="zh-CN" w:eastAsia="zh-CN" w:bidi="ar-SA"/>
        </w:rPr>
        <w:t>经项目业主的检测机构检验合格后</w:t>
      </w:r>
      <w:r>
        <w:rPr>
          <w:rFonts w:hint="eastAsia" w:ascii="方正细等线简体" w:hAnsi="方正细等线简体" w:eastAsia="方正细等线简体" w:cs="方正细等线简体"/>
          <w:color w:val="auto"/>
          <w:kern w:val="56"/>
          <w:sz w:val="24"/>
          <w:szCs w:val="24"/>
          <w:u w:val="single"/>
          <w:lang w:val="en-US" w:eastAsia="zh-CN" w:bidi="ar-SA"/>
        </w:rPr>
        <w:t>付款</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自合同签订生效之日起至甲方完成首期工程计量收款前，乙方须全额垫资保障供应及安装。若甲方出现非正常计量情况，乙方应予以充分谅解并配合协调解决。甲方支付货款按财务应付账款比例计算，未开具增值税专用发票的暂估入账金额不计入支付比例。</w:t>
      </w: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30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sz w:val="24"/>
          <w:szCs w:val="24"/>
          <w:highlight w:val="none"/>
          <w:u w:val="single"/>
          <w:lang w:val="en-US" w:eastAsia="zh-CN"/>
        </w:rPr>
        <w:t xml:space="preserve"> 10 </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 xml:space="preserve"> 00 </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8"/>
          <w:szCs w:val="28"/>
          <w:u w:val="single"/>
          <w:lang w:val="en-US" w:eastAsia="zh-CN"/>
        </w:rPr>
        <w:t>贵州省贵阳市白云区金融西路169号贵州高速黔通建设工程有限公司8楼设备物资部</w:t>
      </w:r>
      <w:r>
        <w:rPr>
          <w:rFonts w:hint="eastAsia" w:cs="仿宋" w:asciiTheme="majorEastAsia" w:hAnsiTheme="majorEastAsia" w:eastAsiaTheme="majorEastAsia"/>
          <w:b/>
          <w:sz w:val="28"/>
          <w:szCs w:val="28"/>
          <w:u w:val="single"/>
          <w:lang w:val="en-US"/>
        </w:rPr>
        <w:t>。</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cs="仿宋" w:asciiTheme="majorEastAsia" w:hAnsiTheme="majorEastAsia" w:eastAsiaTheme="majorEastAsia"/>
          <w:b w:val="0"/>
          <w:bCs/>
          <w:sz w:val="24"/>
          <w:szCs w:val="24"/>
          <w:u w:val="single"/>
          <w:lang w:val="en-US"/>
        </w:rPr>
        <w:t>。</w:t>
      </w:r>
      <w:r>
        <w:rPr>
          <w:rFonts w:hint="eastAsia" w:ascii="方正细等线简体" w:hAnsi="方正细等线简体" w:eastAsia="方正细等线简体" w:cs="方正细等线简体"/>
          <w:b w:val="0"/>
          <w:bCs/>
          <w:sz w:val="24"/>
          <w:szCs w:val="24"/>
          <w:u w:val="single"/>
          <w:lang w:val="en-US" w:eastAsia="zh-CN"/>
        </w:rPr>
        <w:t xml:space="preserve">  </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罗睿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15285962810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center"/>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27 </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28D0C91E">
      <w:pPr>
        <w:spacing w:before="58"/>
        <w:ind w:right="1882"/>
        <w:jc w:val="center"/>
        <w:rPr>
          <w:rFonts w:hint="eastAsia" w:ascii="方正细等线简体" w:hAnsi="方正细等线简体" w:eastAsia="方正细等线简体" w:cs="方正细等线简体"/>
          <w:b/>
          <w:sz w:val="24"/>
          <w:szCs w:val="24"/>
          <w:lang w:val="en-US"/>
        </w:rPr>
      </w:pPr>
    </w:p>
    <w:p w14:paraId="61B8F2F3">
      <w:pPr>
        <w:spacing w:before="58"/>
        <w:ind w:right="1882"/>
        <w:jc w:val="center"/>
        <w:rPr>
          <w:rFonts w:hint="eastAsia" w:ascii="方正细等线简体" w:hAnsi="方正细等线简体" w:eastAsia="方正细等线简体" w:cs="方正细等线简体"/>
          <w:b/>
          <w:sz w:val="24"/>
          <w:szCs w:val="24"/>
          <w:lang w:val="en-US"/>
        </w:rPr>
      </w:pPr>
    </w:p>
    <w:p w14:paraId="6E9EBFBD">
      <w:pPr>
        <w:spacing w:before="58"/>
        <w:ind w:right="1882"/>
        <w:jc w:val="center"/>
        <w:rPr>
          <w:rFonts w:hint="eastAsia" w:ascii="方正细等线简体" w:hAnsi="方正细等线简体" w:eastAsia="方正细等线简体" w:cs="方正细等线简体"/>
          <w:b/>
          <w:sz w:val="24"/>
          <w:szCs w:val="24"/>
          <w:lang w:val="en-US"/>
        </w:rPr>
      </w:pPr>
    </w:p>
    <w:p w14:paraId="77A54D97">
      <w:pPr>
        <w:keepNext w:val="0"/>
        <w:keepLines w:val="0"/>
        <w:pageBreakBefore w:val="0"/>
        <w:widowControl w:val="0"/>
        <w:kinsoku/>
        <w:wordWrap/>
        <w:overflowPunct/>
        <w:topLinePunct w:val="0"/>
        <w:autoSpaceDE w:val="0"/>
        <w:autoSpaceDN w:val="0"/>
        <w:bidi w:val="0"/>
        <w:adjustRightInd/>
        <w:snapToGrid/>
        <w:ind w:right="0"/>
        <w:jc w:val="both"/>
        <w:textAlignment w:val="auto"/>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7F7946"/>
    <w:rsid w:val="01C5370D"/>
    <w:rsid w:val="03A85635"/>
    <w:rsid w:val="065603EF"/>
    <w:rsid w:val="0731661F"/>
    <w:rsid w:val="09DA7C5D"/>
    <w:rsid w:val="0ABD666B"/>
    <w:rsid w:val="0D160430"/>
    <w:rsid w:val="0EDF2C71"/>
    <w:rsid w:val="11150F9A"/>
    <w:rsid w:val="111559BB"/>
    <w:rsid w:val="11904EE0"/>
    <w:rsid w:val="13D67BDF"/>
    <w:rsid w:val="14025B64"/>
    <w:rsid w:val="14165EB9"/>
    <w:rsid w:val="185A23C8"/>
    <w:rsid w:val="1A846A10"/>
    <w:rsid w:val="1CAC0E41"/>
    <w:rsid w:val="1DE74569"/>
    <w:rsid w:val="1F6C2AD5"/>
    <w:rsid w:val="1FB43D8C"/>
    <w:rsid w:val="21E6458E"/>
    <w:rsid w:val="22E86597"/>
    <w:rsid w:val="23D64892"/>
    <w:rsid w:val="249C3453"/>
    <w:rsid w:val="27FB21B9"/>
    <w:rsid w:val="288B4C90"/>
    <w:rsid w:val="2B4753C7"/>
    <w:rsid w:val="2EE0705A"/>
    <w:rsid w:val="2EF44200"/>
    <w:rsid w:val="32984D6D"/>
    <w:rsid w:val="3316116C"/>
    <w:rsid w:val="331E5656"/>
    <w:rsid w:val="38B7004D"/>
    <w:rsid w:val="39232473"/>
    <w:rsid w:val="3A46388D"/>
    <w:rsid w:val="3AA52853"/>
    <w:rsid w:val="3AAD3AE0"/>
    <w:rsid w:val="3BFB590E"/>
    <w:rsid w:val="3F483E7A"/>
    <w:rsid w:val="413D704D"/>
    <w:rsid w:val="42530910"/>
    <w:rsid w:val="42DF7133"/>
    <w:rsid w:val="46E9435A"/>
    <w:rsid w:val="47F82D02"/>
    <w:rsid w:val="4CCE79E7"/>
    <w:rsid w:val="4D7D66E2"/>
    <w:rsid w:val="4F5C2FA0"/>
    <w:rsid w:val="51246DFA"/>
    <w:rsid w:val="51634335"/>
    <w:rsid w:val="53203783"/>
    <w:rsid w:val="53FF655F"/>
    <w:rsid w:val="557C54F7"/>
    <w:rsid w:val="57C2639A"/>
    <w:rsid w:val="58035493"/>
    <w:rsid w:val="599E665F"/>
    <w:rsid w:val="5A2E1258"/>
    <w:rsid w:val="5A9D30EE"/>
    <w:rsid w:val="5EA07A3E"/>
    <w:rsid w:val="5F8C42AC"/>
    <w:rsid w:val="60E64E61"/>
    <w:rsid w:val="60FE01F1"/>
    <w:rsid w:val="62007E50"/>
    <w:rsid w:val="62AD75B1"/>
    <w:rsid w:val="63895709"/>
    <w:rsid w:val="64481875"/>
    <w:rsid w:val="689E24F1"/>
    <w:rsid w:val="6C5D77AE"/>
    <w:rsid w:val="6C860354"/>
    <w:rsid w:val="6DDB17B3"/>
    <w:rsid w:val="6E4B1D30"/>
    <w:rsid w:val="712358FE"/>
    <w:rsid w:val="73E05576"/>
    <w:rsid w:val="743B33FC"/>
    <w:rsid w:val="764B0235"/>
    <w:rsid w:val="7CAF54D2"/>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4997</Words>
  <Characters>5303</Characters>
  <Lines>45</Lines>
  <Paragraphs>12</Paragraphs>
  <TotalTime>1</TotalTime>
  <ScaleCrop>false</ScaleCrop>
  <LinksUpToDate>false</LinksUpToDate>
  <CharactersWithSpaces>6698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2025-10-27T02:35:00Z</cp:lastPrinted>
  <dcterms:modified xsi:type="dcterms:W3CDTF">2025-10-27T08:53:05Z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2052-12.1.0.23125</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