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A42A">
      <w:pPr>
        <w:spacing w:line="440" w:lineRule="exact"/>
        <w:jc w:val="center"/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</w:pPr>
      <w:bookmarkStart w:id="0" w:name="_Toc8483_WPSOffice_Level1"/>
      <w:bookmarkStart w:id="1" w:name="_Toc28134_WPSOffice_Level1"/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贵阳公路管理局2026年道路提升改造工程劳务合作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u w:val="single"/>
          <w:lang w:val="en-US" w:eastAsia="zh-CN"/>
        </w:rPr>
        <w:t>LWHZ-5</w:t>
      </w:r>
    </w:p>
    <w:p w14:paraId="2CD8CAC5">
      <w:pPr>
        <w:spacing w:line="440" w:lineRule="exact"/>
        <w:jc w:val="center"/>
        <w:rPr>
          <w:rFonts w:ascii="Times New Roman" w:hAnsi="Times New Roman" w:eastAsia="黑体"/>
          <w:color w:val="auto"/>
          <w:sz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eastAsia="zh-CN"/>
        </w:rPr>
        <w:t>谈判采购（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val="en-US" w:eastAsia="zh-CN"/>
        </w:rPr>
        <w:t>二次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ascii="Times New Roman" w:hAnsi="Times New Roman" w:eastAsia="黑体"/>
          <w:color w:val="auto"/>
          <w:sz w:val="28"/>
          <w:highlight w:val="none"/>
        </w:rPr>
        <w:t>公告</w:t>
      </w:r>
      <w:bookmarkEnd w:id="0"/>
      <w:bookmarkEnd w:id="1"/>
    </w:p>
    <w:p w14:paraId="7CFCC11B">
      <w:pPr>
        <w:pStyle w:val="7"/>
        <w:spacing w:before="0" w:after="0"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u w:val="single"/>
          <w:lang w:eastAsia="zh-CN"/>
        </w:rPr>
      </w:pPr>
    </w:p>
    <w:p w14:paraId="517D902A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目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贵阳公路管理局2026年道路提升改造工程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施工招标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且施工承包合同已签订，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%，工程劳务合作单位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采购代理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贵州建养公路技术咨询有限公司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。项目已具备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贵阳公路管理局2026年道路提升改造工程劳务合作单位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LWHZ-5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采购（二次）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  <w:bookmarkStart w:id="49" w:name="_GoBack"/>
      <w:bookmarkEnd w:id="49"/>
    </w:p>
    <w:p w14:paraId="6C0ED6DF">
      <w:pPr>
        <w:pStyle w:val="7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13506"/>
      <w:bookmarkStart w:id="3" w:name="_Toc6663"/>
      <w:bookmarkStart w:id="4" w:name="_Toc31238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贵阳公路管理局2026年道路提升改造工程劳务合作单位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0DCC20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1.5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项目共包括4个片区，6个路段，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S103线（乌当片区）K1+365-K6+400段、K8+500-K10+270段；S106线(白云片区）K13+982-K15+000段、K17+300-K19+605段；S208线（息烽片区）K39+827-K46+013段；S208线（开阳片区）K68+000-K73+000段。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具体如下：</w:t>
      </w:r>
    </w:p>
    <w:p w14:paraId="6E660E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①S103线（乌当片区）K1+365-K6+400段、K8+500-K10+270段：该路段实施桩号位于南明区，起点位于大关口村，经水塘村、永乐乡街道，终点止于贵阳龙里交界处，提升改造路段全长6.805Km。</w:t>
      </w:r>
    </w:p>
    <w:p w14:paraId="564308F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②S106线(白云片区）K13+982-K15+000段、K17+300-K19+605段：该路段实施桩号位于观山湖区，起点位于观山湖区翁井村老澜坝，经敖凡冲、翁井村、卡子山，终点止于宾阳大道路口，提升改造路段全长3.323Km。</w:t>
      </w:r>
    </w:p>
    <w:p w14:paraId="6CB5D4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③S208线（息烽片区）K39+827-K46+013段：该路段实施桩号位于息烽县，起点位于乌江镇核桃箐，经高坡村、灯塔村、养龙司镇，终点止于养龙司镇幸福村，提升改造路段全长6.186Km。</w:t>
      </w:r>
    </w:p>
    <w:p w14:paraId="55C072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default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④S208线（开阳片区）K68+000-K73+000段：该路段实施桩号位于开阳县，起点位于永温镇黑石头，经大坝村、堰塘湾、哨上、坤建村，终点止于干沟，提升改造路段全长5.00Km。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24107"/>
      <w:bookmarkStart w:id="6" w:name="_Toc26240"/>
      <w:bookmarkStart w:id="7" w:name="_Toc8483_WPSOffice_Level3"/>
      <w:bookmarkStart w:id="8" w:name="_Toc10095"/>
      <w:bookmarkStart w:id="9" w:name="_Toc21047"/>
      <w:bookmarkStart w:id="10" w:name="_Toc3135"/>
      <w:bookmarkStart w:id="11" w:name="_Toc9210"/>
      <w:bookmarkStart w:id="12" w:name="_Toc7764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本次采购范围为工程施工劳务合作，中标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2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6470CC52">
      <w:pPr>
        <w:spacing w:line="240" w:lineRule="auto"/>
        <w:ind w:firstLine="0" w:firstLineChars="0"/>
        <w:rPr>
          <w:rFonts w:hint="eastAsia" w:ascii="Times New Roman" w:hAnsi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br w:type="page"/>
      </w:r>
      <w:r>
        <w:rPr>
          <w:rFonts w:hint="default" w:ascii="Times New Roman" w:hAnsi="Times New Roman"/>
          <w:b/>
          <w:bCs/>
          <w:color w:val="auto"/>
          <w:highlight w:val="none"/>
        </w:rPr>
        <w:t>2.6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 xml:space="preserve"> 标段划分：</w:t>
      </w:r>
      <w:r>
        <w:rPr>
          <w:rFonts w:ascii="宋体" w:hAnsi="宋体" w:eastAsia="宋体" w:cs="宋体"/>
          <w:sz w:val="24"/>
          <w:szCs w:val="24"/>
          <w:u w:val="single"/>
        </w:rPr>
        <w:t>本</w:t>
      </w:r>
      <w:r>
        <w:rPr>
          <w:rFonts w:hint="default" w:ascii="Times New Roman" w:hAnsi="Times New Roman"/>
          <w:color w:val="auto"/>
          <w:highlight w:val="none"/>
          <w:u w:val="single"/>
        </w:rPr>
        <w:t>项目共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  <w:u w:val="single"/>
        </w:rPr>
        <w:t>个标段，其中1-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/>
          <w:color w:val="auto"/>
          <w:highlight w:val="none"/>
          <w:u w:val="single"/>
        </w:rPr>
        <w:t>标段已成交，本次仅招标第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  <w:u w:val="single"/>
        </w:rPr>
        <w:t>标段</w:t>
      </w:r>
      <w:r>
        <w:rPr>
          <w:rFonts w:hint="eastAsia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，具体如下：</w:t>
      </w:r>
    </w:p>
    <w:tbl>
      <w:tblPr>
        <w:tblStyle w:val="5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42"/>
        <w:gridCol w:w="4821"/>
        <w:gridCol w:w="2083"/>
      </w:tblGrid>
      <w:tr w14:paraId="2A71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46" w:type="pct"/>
            <w:noWrap w:val="0"/>
            <w:vAlign w:val="center"/>
          </w:tcPr>
          <w:p w14:paraId="1A884EE0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41" w:type="pct"/>
            <w:noWrap w:val="0"/>
            <w:vAlign w:val="center"/>
          </w:tcPr>
          <w:p w14:paraId="4DA20B88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662" w:type="pct"/>
            <w:noWrap w:val="0"/>
            <w:vAlign w:val="center"/>
          </w:tcPr>
          <w:p w14:paraId="25FBBFF8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标段范围</w:t>
            </w:r>
          </w:p>
        </w:tc>
        <w:tc>
          <w:tcPr>
            <w:tcW w:w="1150" w:type="pct"/>
            <w:noWrap w:val="0"/>
            <w:vAlign w:val="center"/>
          </w:tcPr>
          <w:p w14:paraId="118868F6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2288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46" w:type="pct"/>
            <w:noWrap w:val="0"/>
            <w:vAlign w:val="center"/>
          </w:tcPr>
          <w:p w14:paraId="5EC581C6">
            <w:pPr>
              <w:pStyle w:val="4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1" w:type="pct"/>
            <w:noWrap w:val="0"/>
            <w:vAlign w:val="center"/>
          </w:tcPr>
          <w:p w14:paraId="58E0B2C9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pct"/>
            <w:shd w:val="clear" w:color="auto" w:fill="auto"/>
            <w:noWrap w:val="0"/>
            <w:vAlign w:val="center"/>
          </w:tcPr>
          <w:p w14:paraId="638E0F4D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S103线K1+365～K6+400、K8+500～K10+270段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S106线K13+982～K15+000、K17+300～K19+605段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S208线K39+827～K46+013段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S208线K68+000～K73+000段</w:t>
            </w:r>
          </w:p>
        </w:tc>
        <w:tc>
          <w:tcPr>
            <w:tcW w:w="1150" w:type="pct"/>
            <w:shd w:val="clear" w:color="auto" w:fill="auto"/>
            <w:noWrap w:val="0"/>
            <w:vAlign w:val="center"/>
          </w:tcPr>
          <w:p w14:paraId="319CA569">
            <w:pPr>
              <w:pStyle w:val="4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交安工程劳务合作</w:t>
            </w:r>
          </w:p>
        </w:tc>
      </w:tr>
    </w:tbl>
    <w:p w14:paraId="22E8A59F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none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可以同时对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多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个标段进行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供应商对多个标段同时投标响应的，应分别提交响应文件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，但最多允许在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，如某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两个（或以上数量）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标段综合得分均排名第一，则仅保留其在最高限价较高的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第一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候选人</w:t>
      </w:r>
      <w:r>
        <w:rPr>
          <w:rFonts w:hint="eastAsia" w:ascii="宋体" w:hAnsi="宋体"/>
          <w:b/>
          <w:bCs/>
          <w:kern w:val="0"/>
          <w:sz w:val="21"/>
          <w:szCs w:val="21"/>
        </w:rPr>
        <w:t>资格，剩余标段不再推荐其为中标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</w:t>
      </w:r>
      <w:r>
        <w:rPr>
          <w:rFonts w:hint="eastAsia" w:ascii="宋体" w:hAnsi="宋体"/>
          <w:b/>
          <w:bCs/>
          <w:kern w:val="0"/>
          <w:sz w:val="21"/>
          <w:szCs w:val="21"/>
        </w:rPr>
        <w:t>人，由排名其后的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依次顺延递补。</w:t>
      </w:r>
    </w:p>
    <w:p w14:paraId="23565757">
      <w:pPr>
        <w:pStyle w:val="4"/>
        <w:rPr>
          <w:rFonts w:hint="default"/>
          <w:lang w:val="en-US" w:eastAsia="zh-CN"/>
        </w:rPr>
      </w:pPr>
    </w:p>
    <w:p w14:paraId="737C1780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77"/>
      <w:bookmarkStart w:id="15" w:name="_Toc1169"/>
      <w:bookmarkStart w:id="16" w:name="_Toc9400"/>
      <w:bookmarkStart w:id="17" w:name="_Toc17603_WPSOffice_Level3"/>
      <w:bookmarkStart w:id="18" w:name="_Toc1988"/>
      <w:bookmarkStart w:id="19" w:name="_Toc31415"/>
      <w:bookmarkStart w:id="20" w:name="_Toc7070"/>
      <w:bookmarkStart w:id="21" w:name="_Toc8523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E172756">
      <w:pPr>
        <w:spacing w:line="400" w:lineRule="exact"/>
        <w:ind w:firstLine="422" w:firstLineChars="200"/>
        <w:rPr>
          <w:rFonts w:ascii="Times New Roman" w:hAnsi="Times New Roman"/>
          <w:color w:val="auto"/>
          <w:szCs w:val="22"/>
          <w:highlight w:val="none"/>
        </w:rPr>
      </w:pPr>
      <w:bookmarkStart w:id="22" w:name="_Toc10014_WPSOffice_Level3"/>
      <w:bookmarkStart w:id="23" w:name="_Toc28480"/>
      <w:bookmarkStart w:id="24" w:name="_Toc1390"/>
      <w:bookmarkStart w:id="25" w:name="_Toc24146"/>
      <w:bookmarkStart w:id="26" w:name="_Toc8068"/>
      <w:bookmarkStart w:id="27" w:name="_Toc9984"/>
      <w:bookmarkStart w:id="28" w:name="_Toc3648"/>
      <w:bookmarkStart w:id="29" w:name="_Toc22751"/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>3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.1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2"/>
          <w:highlight w:val="none"/>
        </w:rPr>
        <w:t>应依法设立且满足如下要求</w:t>
      </w:r>
      <w:r>
        <w:rPr>
          <w:rFonts w:ascii="Times New Roman" w:hAnsi="Times New Roman"/>
          <w:color w:val="auto"/>
          <w:szCs w:val="22"/>
          <w:highlight w:val="none"/>
        </w:rPr>
        <w:t>：</w:t>
      </w:r>
    </w:p>
    <w:p w14:paraId="45F0474C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ascii="Times New Roman" w:hAnsi="Times New Roman"/>
          <w:szCs w:val="22"/>
          <w:highlight w:val="none"/>
        </w:rPr>
        <w:t>（1）资质要求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：①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singl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single"/>
          <w:lang w:val="en-US" w:eastAsia="zh-CN"/>
        </w:rPr>
        <w:t>应为中华人民共和国境内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具有独立法人资格，持有合法有效的企业法人营业执照（提供营业执照扫描件）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single"/>
          <w:lang w:val="en-US" w:eastAsia="zh-CN"/>
        </w:rPr>
        <w:t>，有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企业基本账户（提供开户许可证或基本存款帐户信息）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；</w:t>
      </w:r>
    </w:p>
    <w:p w14:paraId="2D6FF4D6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具有建设行政主管部门核发的《施工劳务企业资质证书》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或取得企业工商注册所在地市（州）级及以上住房城乡建设主管部门颁发的施工劳务备案证明）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安全生产许可证（提供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有效期内的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证书扫描件）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；</w:t>
      </w:r>
    </w:p>
    <w:p w14:paraId="2DD3F6EB">
      <w:pPr>
        <w:spacing w:line="400" w:lineRule="exact"/>
        <w:ind w:firstLine="315" w:firstLineChars="150"/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。</w:t>
      </w:r>
    </w:p>
    <w:p w14:paraId="3CFE0567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szCs w:val="22"/>
          <w:highlight w:val="none"/>
        </w:rPr>
        <w:t>（2）财务要求：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不要求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1D005C27">
      <w:pPr>
        <w:spacing w:line="400" w:lineRule="exact"/>
        <w:ind w:firstLine="315" w:firstLineChars="150"/>
        <w:rPr>
          <w:rFonts w:ascii="Times New Roman" w:hAnsi="Times New Roman"/>
          <w:szCs w:val="22"/>
          <w:highlight w:val="none"/>
        </w:rPr>
      </w:pPr>
      <w:r>
        <w:rPr>
          <w:rFonts w:ascii="Times New Roman" w:hAnsi="Times New Roman"/>
          <w:szCs w:val="22"/>
          <w:highlight w:val="none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资格审查阶段不做业绩要求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22D49E58">
      <w:pPr>
        <w:spacing w:line="400" w:lineRule="exact"/>
        <w:ind w:firstLine="315" w:firstLineChars="150"/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color w:val="auto"/>
          <w:szCs w:val="22"/>
          <w:highlight w:val="none"/>
        </w:rPr>
        <w:t>（4）信誉要求：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①参加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eastAsia="zh-CN"/>
        </w:rPr>
        <w:t>活动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前3年内在经营活动中没有重大违法记录的书面声明（自行承诺）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none"/>
        </w:rPr>
        <w:t>；</w:t>
      </w:r>
    </w:p>
    <w:p w14:paraId="73478D7F">
      <w:pPr>
        <w:spacing w:line="400" w:lineRule="exact"/>
        <w:ind w:firstLine="316" w:firstLineChars="150"/>
        <w:rPr>
          <w:rFonts w:ascii="Times New Roman" w:hAnsi="Times New Roman"/>
          <w:b/>
          <w:bCs/>
          <w:color w:val="auto"/>
          <w:szCs w:val="22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②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>供应商需承诺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在“信用中国”网站中未被列入严重失信主体名单、重大税收违法失信主体 （提供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>承诺书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）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。</w:t>
      </w:r>
    </w:p>
    <w:p w14:paraId="672DA114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Cs w:val="22"/>
          <w:highlight w:val="none"/>
        </w:rPr>
        <w:t>（5）承担本项目的主要人员要求：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>无要求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lang w:val="en-US" w:eastAsia="zh-CN"/>
        </w:rPr>
        <w:t>。</w:t>
      </w:r>
    </w:p>
    <w:p w14:paraId="6405B02B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color w:val="auto"/>
          <w:szCs w:val="22"/>
          <w:highlight w:val="none"/>
        </w:rPr>
        <w:t>（6）其他要求：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具有履行合同所必需的设备和专业技术能力（自行承诺）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。</w:t>
      </w:r>
    </w:p>
    <w:p w14:paraId="2F02C940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1"/>
          <w:highlight w:val="none"/>
        </w:rPr>
        <w:t>3.2</w:t>
      </w:r>
      <w:r>
        <w:rPr>
          <w:rFonts w:ascii="Times New Roman" w:hAnsi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</w:rPr>
        <w:t>不得存在下列情形之一：</w:t>
      </w:r>
    </w:p>
    <w:p w14:paraId="0CA6EDE7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color w:val="auto"/>
          <w:szCs w:val="21"/>
          <w:highlight w:val="none"/>
        </w:rPr>
        <w:t>（</w:t>
      </w:r>
      <w:r>
        <w:rPr>
          <w:rFonts w:ascii="Times New Roman" w:hAnsi="Times New Roman"/>
          <w:color w:val="auto"/>
          <w:szCs w:val="21"/>
          <w:highlight w:val="non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32CFCCF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2</w:t>
      </w:r>
      <w:r>
        <w:rPr>
          <w:rFonts w:ascii="Times New Roman" w:hAnsi="Times New Roman"/>
          <w:color w:val="auto"/>
          <w:szCs w:val="21"/>
          <w:highlight w:val="non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6A6A5A2B">
      <w:pPr>
        <w:spacing w:line="400" w:lineRule="exact"/>
        <w:ind w:firstLine="420" w:firstLineChars="200"/>
        <w:rPr>
          <w:rFonts w:hint="default" w:ascii="Times New Roman" w:hAnsi="Times New Roman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3</w:t>
      </w:r>
      <w:r>
        <w:rPr>
          <w:rFonts w:ascii="Times New Roman" w:hAnsi="Times New Roman"/>
          <w:color w:val="auto"/>
          <w:szCs w:val="21"/>
          <w:highlight w:val="non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</w:rPr>
        <w:t>其他：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月1日起）未发生任何行贿犯罪行为（自行承诺）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19EC6FB5">
      <w:pPr>
        <w:spacing w:line="400" w:lineRule="exact"/>
        <w:ind w:firstLine="422" w:firstLineChars="200"/>
        <w:jc w:val="left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b/>
          <w:bCs/>
          <w:color w:val="auto"/>
          <w:szCs w:val="22"/>
          <w:highlight w:val="none"/>
        </w:rPr>
        <w:t>3.3</w:t>
      </w:r>
      <w:r>
        <w:rPr>
          <w:rFonts w:hint="default" w:ascii="Times New Roman" w:hAnsi="Times New Roman"/>
          <w:color w:val="auto"/>
          <w:szCs w:val="22"/>
          <w:highlight w:val="none"/>
        </w:rPr>
        <w:t xml:space="preserve"> 本次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不接受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szCs w:val="22"/>
          <w:highlight w:val="none"/>
        </w:rPr>
        <w:t>联合体。</w:t>
      </w:r>
    </w:p>
    <w:p w14:paraId="7BCEE9DA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AD14D19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16224"/>
      <w:bookmarkStart w:id="31" w:name="_Toc9020"/>
      <w:bookmarkStart w:id="32" w:name="_Toc23613"/>
      <w:bookmarkStart w:id="33" w:name="_Toc10035"/>
      <w:bookmarkStart w:id="34" w:name="_Toc21913"/>
      <w:bookmarkStart w:id="35" w:name="_Toc18186_WPSOffice_Level3"/>
      <w:bookmarkStart w:id="36" w:name="_Toc31973"/>
      <w:bookmarkStart w:id="37" w:name="_Toc24628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持盖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  <w:szCs w:val="21"/>
          <w:highlight w:val="none"/>
          <w:u w:val="single"/>
          <w:lang w:val="en-US" w:eastAsia="zh-CN"/>
        </w:rPr>
        <w:t>参加采购标段编号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领取采购文件。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审核资料合格后，现场发放采购文件。</w:t>
      </w:r>
    </w:p>
    <w:p w14:paraId="55F643BF">
      <w:pPr>
        <w:pStyle w:val="7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0"/>
    </w:p>
    <w:p w14:paraId="23D87DC2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20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36B41057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7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bookmarkStart w:id="38" w:name="_Toc1471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7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1"/>
      <w:bookmarkEnd w:id="32"/>
      <w:bookmarkEnd w:id="33"/>
      <w:bookmarkEnd w:id="34"/>
      <w:bookmarkEnd w:id="35"/>
      <w:bookmarkEnd w:id="36"/>
      <w:bookmarkEnd w:id="37"/>
      <w:bookmarkStart w:id="39" w:name="_Toc24262"/>
      <w:bookmarkStart w:id="40" w:name="_Toc28869_WPSOffice_Level3"/>
      <w:bookmarkStart w:id="41" w:name="_Toc26618"/>
      <w:bookmarkStart w:id="42" w:name="_Toc31656"/>
      <w:bookmarkStart w:id="43" w:name="_Toc27050"/>
      <w:bookmarkStart w:id="44" w:name="_Toc11882"/>
      <w:bookmarkStart w:id="45" w:name="_Toc2943"/>
      <w:bookmarkStart w:id="46" w:name="_Toc23168"/>
    </w:p>
    <w:p w14:paraId="3895DAF0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7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8.1本项目采用综合评分法进行评审。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6A92F245">
      <w:pPr>
        <w:pStyle w:val="7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7283"/>
      <w:bookmarkStart w:id="48" w:name="_Toc2503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E0F0944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2866AF9">
      <w:pPr>
        <w:spacing w:line="240" w:lineRule="auto"/>
        <w:jc w:val="righ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72DDAE4F"/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01E2B"/>
    <w:rsid w:val="23347C42"/>
    <w:rsid w:val="78E0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2026-04-14T03:53:00Z</dcterms:created>
  <dc:creator>Co</dc:creator>
  <cp:lastModifiedBy>Co</cp:lastModifiedBy>
  <dcterms:modified xsi:type="dcterms:W3CDTF">2026-04-14T03:53:38Z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E06C04E549044635A4BE71EC035909EA_11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