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4E1A7D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国产化工业（CAD）软件采购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现按采购文件及贵州省公路建设养护集团有限公司非工程项目类货物服务采购管理办法规定、2025年9月29日评审情况，对</w:t>
      </w:r>
      <w:r>
        <w:rPr>
          <w:rFonts w:hint="eastAsia" w:ascii="仿宋" w:hAnsi="仿宋" w:eastAsia="仿宋" w:cs="仿宋"/>
          <w:sz w:val="28"/>
          <w:szCs w:val="28"/>
          <w:u w:val="single"/>
          <w:lang w:val="en-US" w:eastAsia="zh-CN"/>
        </w:rPr>
        <w:t>贵州省公路建设养护集团有限公司国产化工业（CAD）软件采购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贵州芷威科技有限责任公司</w:t>
            </w:r>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95000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中为信息科技（昆明）有限公司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99000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贵州蓝鹊信息技术有限公司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99900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公示时间：2025年10月1日至2025年10月10日</w:t>
      </w:r>
      <w:bookmarkStart w:id="0" w:name="_GoBack"/>
      <w:bookmarkEnd w:id="0"/>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2025年9月30日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449</Words>
  <Characters>506</Characters>
  <Lines>0</Lines>
  <Paragraphs>0</Paragraphs>
  <TotalTime>3</TotalTime>
  <ScaleCrop>false</ScaleCrop>
  <LinksUpToDate>false</LinksUpToDate>
  <CharactersWithSpaces>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2025-09-30T02:57:20Z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