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2C98B">
      <w:pPr>
        <w:keepNext w:val="0"/>
        <w:keepLines w:val="0"/>
        <w:pageBreakBefore w:val="0"/>
        <w:widowControl/>
        <w:kinsoku/>
        <w:wordWrap/>
        <w:overflowPunct/>
        <w:topLinePunct w:val="0"/>
        <w:autoSpaceDE w:val="0"/>
        <w:autoSpaceDN w:val="0"/>
        <w:bidi w:val="0"/>
        <w:adjustRightInd/>
        <w:snapToGrid/>
        <w:spacing w:after="240" w:line="300" w:lineRule="auto"/>
        <w:jc w:val="center"/>
        <w:textAlignment w:val="auto"/>
        <w:rPr>
          <w:rFonts w:hint="eastAsia" w:ascii="仿宋" w:hAnsi="仿宋" w:eastAsia="仿宋" w:cs="仿宋"/>
          <w:b/>
          <w:sz w:val="36"/>
          <w:szCs w:val="36"/>
          <w:lang w:val="en-US" w:eastAsia="zh-CN"/>
        </w:rPr>
      </w:pPr>
      <w:r>
        <w:rPr>
          <w:rFonts w:hint="eastAsia" w:ascii="仿宋" w:hAnsi="仿宋" w:eastAsia="仿宋" w:cs="仿宋"/>
          <w:b/>
          <w:sz w:val="36"/>
          <w:szCs w:val="36"/>
          <w:lang w:eastAsia="zh-CN"/>
        </w:rPr>
        <w:t>黔东南公路建设养护有限公司</w:t>
      </w:r>
      <w:r>
        <w:rPr>
          <w:rFonts w:hint="eastAsia" w:ascii="仿宋" w:hAnsi="仿宋" w:eastAsia="仿宋" w:cs="仿宋"/>
          <w:b/>
          <w:sz w:val="36"/>
          <w:szCs w:val="36"/>
          <w:lang w:val="en-US" w:eastAsia="zh-CN"/>
        </w:rPr>
        <w:t>2026年度项目沥青</w:t>
      </w:r>
    </w:p>
    <w:p w14:paraId="62CCE0C6">
      <w:pPr>
        <w:keepNext w:val="0"/>
        <w:keepLines w:val="0"/>
        <w:pageBreakBefore w:val="0"/>
        <w:widowControl/>
        <w:kinsoku/>
        <w:wordWrap/>
        <w:overflowPunct/>
        <w:topLinePunct w:val="0"/>
        <w:autoSpaceDE w:val="0"/>
        <w:autoSpaceDN w:val="0"/>
        <w:bidi w:val="0"/>
        <w:adjustRightInd/>
        <w:snapToGrid/>
        <w:spacing w:after="240" w:line="30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b/>
          <w:sz w:val="36"/>
          <w:szCs w:val="36"/>
          <w:lang w:val="en-US" w:eastAsia="zh-CN"/>
        </w:rPr>
        <w:t>采购公告</w:t>
      </w:r>
    </w:p>
    <w:p w14:paraId="711FCDEF">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auto"/>
        <w:ind w:firstLine="560" w:firstLineChars="200"/>
        <w:jc w:val="both"/>
        <w:textAlignment w:val="auto"/>
        <w:rPr>
          <w:rFonts w:hint="eastAsia" w:ascii="仿宋" w:hAnsi="仿宋" w:eastAsia="仿宋" w:cs="仿宋"/>
          <w:color w:val="auto"/>
          <w:sz w:val="28"/>
          <w:szCs w:val="28"/>
          <w:lang w:val="en-US" w:eastAsia="zh-CN" w:bidi="zh-CN"/>
        </w:rPr>
      </w:pPr>
      <w:r>
        <w:rPr>
          <w:rFonts w:hint="eastAsia" w:ascii="仿宋" w:hAnsi="仿宋" w:eastAsia="仿宋" w:cs="仿宋"/>
          <w:color w:val="auto"/>
          <w:sz w:val="28"/>
          <w:szCs w:val="28"/>
          <w:lang w:val="en-US" w:eastAsia="zh-CN"/>
        </w:rPr>
        <w:t>黔东南公路建设养护有限公司组织采购2026年项目用沥青，该沥青采购采</w:t>
      </w:r>
      <w:r>
        <w:rPr>
          <w:rFonts w:hint="eastAsia" w:ascii="仿宋" w:hAnsi="仿宋" w:eastAsia="仿宋" w:cs="仿宋"/>
          <w:color w:val="auto"/>
          <w:sz w:val="28"/>
          <w:szCs w:val="28"/>
          <w:lang w:val="en-US" w:eastAsia="zh-CN" w:bidi="zh-CN"/>
        </w:rPr>
        <w:t>用竞价方式采购，特邀请有关单位参加竞价，现将公告如下：</w:t>
      </w:r>
    </w:p>
    <w:p w14:paraId="5E23E6D4">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auto"/>
        <w:ind w:firstLine="562" w:firstLineChars="200"/>
        <w:jc w:val="both"/>
        <w:textAlignment w:val="auto"/>
        <w:rPr>
          <w:rFonts w:hint="eastAsia" w:ascii="仿宋" w:hAnsi="仿宋" w:eastAsia="仿宋" w:cs="仿宋"/>
          <w:color w:val="auto"/>
          <w:sz w:val="28"/>
          <w:szCs w:val="28"/>
          <w:lang w:val="en-US" w:eastAsia="zh-CN" w:bidi="zh-CN"/>
        </w:rPr>
      </w:pPr>
      <w:r>
        <w:rPr>
          <w:rFonts w:hint="eastAsia" w:ascii="仿宋" w:hAnsi="仿宋" w:eastAsia="仿宋" w:cs="仿宋"/>
          <w:b/>
          <w:bCs/>
          <w:color w:val="auto"/>
          <w:sz w:val="28"/>
          <w:szCs w:val="28"/>
          <w:lang w:val="en-US" w:eastAsia="zh-CN" w:bidi="zh-CN"/>
        </w:rPr>
        <w:t>1、采购项目：</w:t>
      </w:r>
      <w:r>
        <w:rPr>
          <w:rFonts w:hint="eastAsia" w:ascii="仿宋" w:hAnsi="仿宋" w:eastAsia="仿宋" w:cs="仿宋"/>
          <w:color w:val="auto"/>
          <w:sz w:val="28"/>
          <w:szCs w:val="28"/>
          <w:u w:val="single"/>
          <w:lang w:val="en-US" w:eastAsia="zh-CN" w:bidi="zh-CN"/>
        </w:rPr>
        <w:t xml:space="preserve"> 2026年度项目沥青采购    </w:t>
      </w:r>
    </w:p>
    <w:p w14:paraId="3ED1C984">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auto"/>
        <w:ind w:firstLine="562" w:firstLineChars="200"/>
        <w:jc w:val="both"/>
        <w:textAlignment w:val="auto"/>
        <w:rPr>
          <w:rFonts w:hint="default" w:ascii="仿宋" w:hAnsi="仿宋" w:eastAsia="仿宋" w:cs="仿宋"/>
          <w:color w:val="auto"/>
          <w:sz w:val="28"/>
          <w:szCs w:val="28"/>
          <w:lang w:val="en-US" w:eastAsia="zh-CN" w:bidi="zh-CN"/>
        </w:rPr>
      </w:pPr>
      <w:r>
        <w:rPr>
          <w:rFonts w:hint="eastAsia" w:ascii="仿宋" w:hAnsi="仿宋" w:eastAsia="仿宋" w:cs="仿宋"/>
          <w:b/>
          <w:bCs/>
          <w:color w:val="auto"/>
          <w:sz w:val="28"/>
          <w:szCs w:val="28"/>
          <w:lang w:val="en-US" w:eastAsia="zh-CN" w:bidi="zh-CN"/>
        </w:rPr>
        <w:t>2、采购方：</w:t>
      </w:r>
      <w:r>
        <w:rPr>
          <w:rFonts w:hint="eastAsia" w:ascii="仿宋" w:hAnsi="仿宋" w:eastAsia="仿宋" w:cs="仿宋"/>
          <w:color w:val="auto"/>
          <w:sz w:val="28"/>
          <w:szCs w:val="28"/>
          <w:lang w:val="en-US" w:eastAsia="zh-CN" w:bidi="zh-CN"/>
        </w:rPr>
        <w:t xml:space="preserve">  </w:t>
      </w:r>
      <w:r>
        <w:rPr>
          <w:rFonts w:hint="eastAsia" w:ascii="仿宋" w:hAnsi="仿宋" w:eastAsia="仿宋" w:cs="仿宋"/>
          <w:color w:val="auto"/>
          <w:sz w:val="28"/>
          <w:szCs w:val="28"/>
          <w:u w:val="single"/>
          <w:lang w:val="en-US" w:eastAsia="zh-CN" w:bidi="zh-CN"/>
        </w:rPr>
        <w:t>黔东南公路建设养护有限公司</w:t>
      </w:r>
      <w:r>
        <w:rPr>
          <w:rFonts w:hint="eastAsia" w:ascii="仿宋" w:hAnsi="仿宋" w:eastAsia="仿宋" w:cs="仿宋"/>
          <w:color w:val="auto"/>
          <w:sz w:val="28"/>
          <w:szCs w:val="28"/>
          <w:lang w:val="en-US" w:eastAsia="zh-CN" w:bidi="zh-CN"/>
        </w:rPr>
        <w:t xml:space="preserve">  </w:t>
      </w:r>
    </w:p>
    <w:p w14:paraId="1A1F7E8E">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auto"/>
        <w:ind w:firstLine="562" w:firstLineChars="200"/>
        <w:jc w:val="both"/>
        <w:textAlignment w:val="auto"/>
        <w:rPr>
          <w:rFonts w:hint="eastAsia" w:ascii="仿宋" w:hAnsi="仿宋" w:eastAsia="仿宋" w:cs="仿宋"/>
          <w:b/>
          <w:bCs/>
          <w:color w:val="auto"/>
          <w:sz w:val="28"/>
          <w:szCs w:val="28"/>
          <w:lang w:val="en-US" w:eastAsia="zh-CN" w:bidi="zh-CN"/>
        </w:rPr>
      </w:pPr>
      <w:r>
        <w:rPr>
          <w:rFonts w:hint="eastAsia" w:ascii="仿宋" w:hAnsi="仿宋" w:eastAsia="仿宋" w:cs="仿宋"/>
          <w:b/>
          <w:bCs/>
          <w:color w:val="auto"/>
          <w:sz w:val="28"/>
          <w:szCs w:val="28"/>
          <w:lang w:val="en-US" w:eastAsia="zh-CN" w:bidi="zh-CN"/>
        </w:rPr>
        <w:t>3、采购概况：</w:t>
      </w:r>
    </w:p>
    <w:p w14:paraId="3F0DE807">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auto"/>
        <w:ind w:firstLine="560" w:firstLineChars="200"/>
        <w:jc w:val="both"/>
        <w:textAlignment w:val="auto"/>
        <w:rPr>
          <w:rFonts w:hint="default" w:ascii="仿宋" w:hAnsi="仿宋" w:eastAsia="仿宋" w:cs="仿宋"/>
          <w:color w:val="auto"/>
          <w:sz w:val="28"/>
          <w:szCs w:val="28"/>
          <w:lang w:val="en-US" w:eastAsia="zh-CN" w:bidi="zh-CN"/>
        </w:rPr>
      </w:pPr>
      <w:r>
        <w:rPr>
          <w:rFonts w:hint="eastAsia" w:ascii="仿宋" w:hAnsi="仿宋" w:eastAsia="仿宋" w:cs="仿宋"/>
          <w:color w:val="auto"/>
          <w:sz w:val="28"/>
          <w:szCs w:val="28"/>
          <w:lang w:val="en-US" w:eastAsia="zh-CN" w:bidi="zh-CN"/>
        </w:rPr>
        <w:t>3.1 使用项目：黔东南公路建设养护有限公司2026年在建项目。</w:t>
      </w:r>
    </w:p>
    <w:p w14:paraId="4B07B6D0">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auto"/>
        <w:ind w:firstLine="560" w:firstLineChars="200"/>
        <w:jc w:val="both"/>
        <w:textAlignment w:val="auto"/>
        <w:rPr>
          <w:rFonts w:hint="default" w:ascii="仿宋" w:hAnsi="仿宋" w:eastAsia="仿宋" w:cs="仿宋"/>
          <w:color w:val="auto"/>
          <w:sz w:val="28"/>
          <w:szCs w:val="28"/>
          <w:lang w:val="en-US" w:eastAsia="zh-CN" w:bidi="zh-CN"/>
        </w:rPr>
      </w:pPr>
      <w:r>
        <w:rPr>
          <w:rFonts w:hint="eastAsia" w:ascii="仿宋" w:hAnsi="仿宋" w:eastAsia="仿宋" w:cs="仿宋"/>
          <w:color w:val="auto"/>
          <w:sz w:val="28"/>
          <w:szCs w:val="28"/>
          <w:lang w:val="en-US" w:eastAsia="zh-CN" w:bidi="zh-CN"/>
        </w:rPr>
        <w:t>3.2 采购货物规格及数量：70#A级道路石油沥青约2425吨，该采购数量为我公司项目预估数量，具体采购数量根据公司后续项目需求实际采购供应。</w:t>
      </w:r>
    </w:p>
    <w:p w14:paraId="5081E413">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auto"/>
        <w:ind w:firstLine="560" w:firstLineChars="200"/>
        <w:jc w:val="both"/>
        <w:textAlignment w:val="auto"/>
        <w:rPr>
          <w:rFonts w:hint="eastAsia" w:ascii="仿宋" w:hAnsi="仿宋" w:eastAsia="仿宋" w:cs="仿宋"/>
          <w:color w:val="auto"/>
          <w:sz w:val="28"/>
          <w:szCs w:val="28"/>
          <w:lang w:val="en-US" w:eastAsia="zh-CN" w:bidi="zh-CN"/>
        </w:rPr>
      </w:pPr>
      <w:r>
        <w:rPr>
          <w:rFonts w:hint="eastAsia" w:ascii="仿宋" w:hAnsi="仿宋" w:eastAsia="仿宋" w:cs="仿宋"/>
          <w:color w:val="auto"/>
          <w:sz w:val="28"/>
          <w:szCs w:val="28"/>
          <w:lang w:val="en-US" w:eastAsia="zh-CN" w:bidi="zh-CN"/>
        </w:rPr>
        <w:t>3.3 沥青品牌：中石油公司生产的昆仑牌或中石化公司生产的长城牌、东海牌、中海油或壳牌。须附出厂合格证及质量检测报告。</w:t>
      </w:r>
    </w:p>
    <w:p w14:paraId="2E59B883">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auto"/>
        <w:ind w:firstLine="560" w:firstLineChars="200"/>
        <w:jc w:val="both"/>
        <w:textAlignment w:val="auto"/>
        <w:rPr>
          <w:rFonts w:hint="eastAsia" w:ascii="仿宋" w:hAnsi="仿宋" w:eastAsia="仿宋" w:cs="仿宋"/>
          <w:color w:val="auto"/>
          <w:sz w:val="28"/>
          <w:szCs w:val="28"/>
          <w:lang w:val="en-US" w:eastAsia="zh-CN" w:bidi="zh-CN"/>
        </w:rPr>
      </w:pPr>
      <w:r>
        <w:rPr>
          <w:rFonts w:hint="eastAsia" w:ascii="仿宋" w:hAnsi="仿宋" w:eastAsia="仿宋" w:cs="仿宋"/>
          <w:color w:val="auto"/>
          <w:sz w:val="28"/>
          <w:szCs w:val="28"/>
          <w:lang w:val="en-US" w:eastAsia="zh-CN" w:bidi="zh-CN"/>
        </w:rPr>
        <w:t>3.4 送达地点：黔东南州境内项目施工拌合站，具体卸货地点钢筋项目实际情况由我发指定。</w:t>
      </w:r>
    </w:p>
    <w:p w14:paraId="777ECB35">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auto"/>
        <w:ind w:firstLine="560" w:firstLineChars="200"/>
        <w:jc w:val="both"/>
        <w:textAlignment w:val="auto"/>
        <w:rPr>
          <w:rFonts w:hint="eastAsia" w:ascii="仿宋" w:hAnsi="仿宋" w:eastAsia="仿宋" w:cs="仿宋"/>
          <w:color w:val="auto"/>
          <w:sz w:val="28"/>
          <w:szCs w:val="28"/>
          <w:lang w:val="en-US" w:eastAsia="zh-CN" w:bidi="zh-CN"/>
        </w:rPr>
      </w:pPr>
      <w:r>
        <w:rPr>
          <w:rFonts w:hint="eastAsia" w:ascii="仿宋" w:hAnsi="仿宋" w:eastAsia="仿宋" w:cs="仿宋"/>
          <w:color w:val="auto"/>
          <w:sz w:val="28"/>
          <w:szCs w:val="28"/>
          <w:lang w:val="en-US" w:eastAsia="zh-CN" w:bidi="zh-CN"/>
        </w:rPr>
        <w:t>3.5 报价含专票税到场,税率13%，一票结算。</w:t>
      </w:r>
    </w:p>
    <w:p w14:paraId="57E67FFB">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auto"/>
        <w:ind w:firstLine="560" w:firstLineChars="200"/>
        <w:jc w:val="both"/>
        <w:textAlignment w:val="auto"/>
        <w:rPr>
          <w:rFonts w:hint="eastAsia" w:ascii="仿宋" w:hAnsi="仿宋" w:eastAsia="仿宋" w:cs="仿宋"/>
          <w:color w:val="auto"/>
          <w:sz w:val="28"/>
          <w:szCs w:val="28"/>
          <w:lang w:val="en-US" w:eastAsia="zh-CN" w:bidi="zh-CN"/>
        </w:rPr>
      </w:pPr>
      <w:r>
        <w:rPr>
          <w:rFonts w:hint="eastAsia" w:ascii="仿宋" w:hAnsi="仿宋" w:eastAsia="仿宋" w:cs="仿宋"/>
          <w:color w:val="auto"/>
          <w:sz w:val="28"/>
          <w:szCs w:val="28"/>
          <w:lang w:val="en-US" w:eastAsia="zh-CN" w:bidi="zh-CN"/>
        </w:rPr>
        <w:t>3.6 栏标价、报价规则及单价的确定方式：</w:t>
      </w:r>
    </w:p>
    <w:p w14:paraId="4B64FD4B">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auto"/>
        <w:ind w:firstLine="560" w:firstLineChars="200"/>
        <w:jc w:val="both"/>
        <w:textAlignment w:val="auto"/>
        <w:rPr>
          <w:rFonts w:hint="eastAsia" w:ascii="仿宋" w:hAnsi="仿宋" w:eastAsia="仿宋" w:cs="仿宋"/>
          <w:color w:val="auto"/>
          <w:sz w:val="28"/>
          <w:szCs w:val="28"/>
          <w:lang w:val="en-US" w:eastAsia="zh-CN" w:bidi="zh-CN"/>
        </w:rPr>
      </w:pPr>
      <w:r>
        <w:rPr>
          <w:rFonts w:hint="eastAsia" w:ascii="仿宋" w:hAnsi="仿宋" w:eastAsia="仿宋" w:cs="仿宋"/>
          <w:color w:val="auto"/>
          <w:sz w:val="28"/>
          <w:szCs w:val="28"/>
          <w:lang w:val="en-US" w:eastAsia="zh-CN" w:bidi="zh-CN"/>
        </w:rPr>
        <w:t>（1）</w:t>
      </w:r>
      <w:r>
        <w:rPr>
          <w:rFonts w:hint="eastAsia" w:ascii="仿宋" w:hAnsi="仿宋" w:eastAsia="仿宋" w:cs="仿宋"/>
          <w:sz w:val="28"/>
          <w:szCs w:val="28"/>
          <w:lang w:eastAsia="zh-CN"/>
        </w:rPr>
        <w:t>初始</w:t>
      </w:r>
      <w:r>
        <w:rPr>
          <w:rFonts w:hint="eastAsia" w:ascii="仿宋" w:hAnsi="仿宋" w:eastAsia="仿宋" w:cs="仿宋"/>
          <w:sz w:val="28"/>
          <w:szCs w:val="28"/>
        </w:rPr>
        <w:t>拦标价：本次</w:t>
      </w:r>
      <w:r>
        <w:rPr>
          <w:rFonts w:hint="eastAsia" w:ascii="仿宋" w:hAnsi="仿宋" w:eastAsia="仿宋" w:cs="仿宋"/>
          <w:sz w:val="28"/>
          <w:szCs w:val="28"/>
          <w:lang w:eastAsia="zh-CN"/>
        </w:rPr>
        <w:t>基质沥青</w:t>
      </w:r>
      <w:r>
        <w:rPr>
          <w:rFonts w:hint="eastAsia" w:ascii="仿宋" w:hAnsi="仿宋" w:eastAsia="仿宋" w:cs="仿宋"/>
          <w:sz w:val="28"/>
          <w:szCs w:val="28"/>
        </w:rPr>
        <w:t>采购</w:t>
      </w:r>
      <w:r>
        <w:rPr>
          <w:rFonts w:hint="eastAsia" w:ascii="仿宋" w:hAnsi="仿宋" w:eastAsia="仿宋" w:cs="仿宋"/>
          <w:sz w:val="28"/>
          <w:szCs w:val="28"/>
          <w:lang w:eastAsia="zh-CN"/>
        </w:rPr>
        <w:t>参考</w:t>
      </w:r>
      <w:r>
        <w:rPr>
          <w:rFonts w:hint="eastAsia" w:ascii="仿宋" w:hAnsi="仿宋" w:eastAsia="仿宋" w:cs="仿宋"/>
          <w:sz w:val="28"/>
          <w:szCs w:val="28"/>
          <w:lang w:val="en-US" w:eastAsia="zh-CN"/>
        </w:rPr>
        <w:t>2026年8月6日</w:t>
      </w:r>
      <w:r>
        <w:rPr>
          <w:rFonts w:hint="eastAsia" w:ascii="仿宋" w:hAnsi="仿宋" w:eastAsia="仿宋" w:cs="仿宋"/>
          <w:sz w:val="28"/>
          <w:szCs w:val="28"/>
        </w:rPr>
        <w:t>百川资讯</w:t>
      </w:r>
      <w:r>
        <w:rPr>
          <w:rFonts w:hint="eastAsia" w:ascii="仿宋" w:hAnsi="仿宋" w:eastAsia="仿宋" w:cs="仿宋"/>
          <w:color w:val="auto"/>
          <w:sz w:val="28"/>
          <w:szCs w:val="28"/>
          <w:lang w:val="en-US" w:eastAsia="zh-CN" w:bidi="zh-CN"/>
        </w:rPr>
        <w:t>（百川盈孚http://www.baiinfo.com.cn/）国内炼厂重交沥青出厂价格 (广东省—茂名石化70#、90#A级火运挂牌价5210元/吨）沥青行情网作为基础价格下浮5%为初始拦标价，即拦标价为4949.5元/吨。</w:t>
      </w:r>
    </w:p>
    <w:p w14:paraId="47DE5F86">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auto"/>
        <w:ind w:firstLine="560" w:firstLineChars="200"/>
        <w:jc w:val="both"/>
        <w:textAlignment w:val="auto"/>
        <w:rPr>
          <w:rFonts w:hint="eastAsia" w:ascii="仿宋" w:hAnsi="仿宋" w:eastAsia="仿宋" w:cs="仿宋"/>
          <w:color w:val="FF0000"/>
          <w:sz w:val="28"/>
          <w:szCs w:val="28"/>
        </w:rPr>
      </w:pPr>
      <w:r>
        <w:rPr>
          <w:rFonts w:hint="eastAsia" w:ascii="仿宋" w:hAnsi="仿宋" w:eastAsia="仿宋" w:cs="仿宋"/>
          <w:color w:val="auto"/>
          <w:sz w:val="28"/>
          <w:szCs w:val="28"/>
          <w:lang w:val="en-US" w:eastAsia="zh-CN" w:bidi="zh-CN"/>
        </w:rPr>
        <w:t>（2）报价规则及单价的确定方式：</w:t>
      </w:r>
      <w:r>
        <w:rPr>
          <w:rFonts w:hint="eastAsia" w:ascii="仿宋" w:hAnsi="仿宋" w:eastAsia="仿宋" w:cs="仿宋"/>
          <w:sz w:val="28"/>
          <w:szCs w:val="28"/>
        </w:rPr>
        <w:t>投标人以</w:t>
      </w:r>
      <w:r>
        <w:rPr>
          <w:rFonts w:hint="eastAsia" w:ascii="仿宋" w:hAnsi="仿宋" w:eastAsia="仿宋" w:cs="仿宋"/>
          <w:sz w:val="28"/>
          <w:szCs w:val="28"/>
          <w:lang w:eastAsia="zh-CN"/>
        </w:rPr>
        <w:t>初始拦标价为</w:t>
      </w:r>
      <w:r>
        <w:rPr>
          <w:rFonts w:hint="eastAsia" w:ascii="仿宋" w:hAnsi="仿宋" w:eastAsia="仿宋" w:cs="仿宋"/>
          <w:sz w:val="28"/>
          <w:szCs w:val="28"/>
        </w:rPr>
        <w:t>基础，通过下浮的</w:t>
      </w:r>
      <w:r>
        <w:rPr>
          <w:rFonts w:hint="eastAsia" w:ascii="仿宋" w:hAnsi="仿宋" w:eastAsia="仿宋" w:cs="仿宋"/>
          <w:color w:val="auto"/>
          <w:sz w:val="28"/>
          <w:szCs w:val="28"/>
          <w:lang w:val="en-US" w:eastAsia="zh-CN" w:bidi="zh-CN"/>
        </w:rPr>
        <w:t>方式进行报价，除初始书面报价外，采取1轮现场报价，书面报价最低价作为现场报价的拦标价，现场报价由低至高排序，报价最低者作为第一中标候选人，依次排序。该报价包括产品价格、运输（</w:t>
      </w:r>
      <w:r>
        <w:rPr>
          <w:rFonts w:hint="eastAsia" w:ascii="仿宋" w:hAnsi="仿宋" w:eastAsia="仿宋" w:cs="宋体"/>
          <w:kern w:val="0"/>
          <w:sz w:val="30"/>
          <w:szCs w:val="30"/>
        </w:rPr>
        <w:t>含装、卸费用）、税费</w:t>
      </w:r>
      <w:r>
        <w:rPr>
          <w:rFonts w:hint="eastAsia" w:ascii="仿宋" w:hAnsi="仿宋" w:eastAsia="仿宋" w:cs="宋体"/>
          <w:kern w:val="0"/>
          <w:sz w:val="30"/>
          <w:szCs w:val="30"/>
          <w:lang w:eastAsia="zh-CN"/>
        </w:rPr>
        <w:t>、</w:t>
      </w:r>
      <w:r>
        <w:rPr>
          <w:rFonts w:hint="eastAsia" w:ascii="仿宋" w:hAnsi="仿宋" w:eastAsia="仿宋" w:cs="宋体"/>
          <w:kern w:val="0"/>
          <w:sz w:val="30"/>
          <w:szCs w:val="30"/>
          <w:lang w:val="en-US" w:eastAsia="zh-CN"/>
        </w:rPr>
        <w:t>利润</w:t>
      </w:r>
      <w:r>
        <w:rPr>
          <w:rFonts w:hint="eastAsia" w:ascii="仿宋" w:hAnsi="仿宋" w:eastAsia="仿宋" w:cs="宋体"/>
          <w:kern w:val="0"/>
          <w:sz w:val="30"/>
          <w:szCs w:val="30"/>
        </w:rPr>
        <w:t>等所有费用的最终报价</w:t>
      </w:r>
      <w:r>
        <w:rPr>
          <w:rFonts w:hint="eastAsia" w:ascii="仿宋" w:hAnsi="仿宋" w:eastAsia="仿宋" w:cs="宋体"/>
          <w:kern w:val="0"/>
          <w:sz w:val="30"/>
          <w:szCs w:val="30"/>
          <w:lang w:eastAsia="zh-CN"/>
        </w:rPr>
        <w:t>。</w:t>
      </w:r>
    </w:p>
    <w:p w14:paraId="35D04ADF">
      <w:pPr>
        <w:keepNext w:val="0"/>
        <w:keepLines w:val="0"/>
        <w:pageBreakBefore w:val="0"/>
        <w:widowControl w:val="0"/>
        <w:kinsoku/>
        <w:wordWrap/>
        <w:overflowPunct/>
        <w:topLinePunct w:val="0"/>
        <w:autoSpaceDE w:val="0"/>
        <w:autoSpaceDN w:val="0"/>
        <w:bidi w:val="0"/>
        <w:adjustRightInd/>
        <w:snapToGrid/>
        <w:spacing w:line="300"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eastAsia="zh-CN"/>
        </w:rPr>
        <w:t>）</w:t>
      </w:r>
      <w:r>
        <w:rPr>
          <w:rFonts w:hint="eastAsia" w:ascii="仿宋" w:hAnsi="仿宋" w:eastAsia="仿宋" w:cs="仿宋"/>
          <w:sz w:val="28"/>
          <w:szCs w:val="28"/>
          <w:lang w:eastAsia="zh-CN"/>
        </w:rPr>
        <w:t>供货结算</w:t>
      </w:r>
      <w:r>
        <w:rPr>
          <w:rFonts w:hint="eastAsia" w:ascii="仿宋" w:hAnsi="仿宋" w:eastAsia="仿宋" w:cs="仿宋"/>
          <w:sz w:val="28"/>
          <w:szCs w:val="28"/>
        </w:rPr>
        <w:t>单价的确定方式：</w:t>
      </w:r>
      <w:r>
        <w:rPr>
          <w:rFonts w:hint="eastAsia" w:ascii="仿宋" w:hAnsi="仿宋" w:eastAsia="仿宋" w:cs="仿宋"/>
          <w:color w:val="auto"/>
          <w:spacing w:val="20"/>
          <w:sz w:val="28"/>
          <w:szCs w:val="28"/>
          <w:lang w:val="en-US" w:eastAsia="zh-CN"/>
        </w:rPr>
        <w:t>到货</w:t>
      </w:r>
      <w:r>
        <w:rPr>
          <w:rFonts w:hint="eastAsia" w:ascii="仿宋" w:hAnsi="仿宋" w:eastAsia="仿宋" w:cs="仿宋"/>
          <w:color w:val="auto"/>
          <w:spacing w:val="20"/>
          <w:sz w:val="28"/>
          <w:szCs w:val="28"/>
        </w:rPr>
        <w:t>日网价同</w:t>
      </w:r>
      <w:r>
        <w:rPr>
          <w:rFonts w:hint="eastAsia" w:ascii="仿宋" w:hAnsi="仿宋" w:eastAsia="仿宋" w:cs="仿宋"/>
          <w:color w:val="auto"/>
          <w:sz w:val="28"/>
          <w:szCs w:val="28"/>
        </w:rPr>
        <w:t>基础价</w:t>
      </w:r>
      <w:r>
        <w:rPr>
          <w:rFonts w:hint="eastAsia" w:ascii="仿宋" w:hAnsi="仿宋" w:eastAsia="仿宋" w:cs="仿宋"/>
          <w:color w:val="auto"/>
          <w:spacing w:val="20"/>
          <w:sz w:val="28"/>
          <w:szCs w:val="28"/>
        </w:rPr>
        <w:t>的差额</w:t>
      </w:r>
      <w:r>
        <w:rPr>
          <w:rFonts w:hint="eastAsia" w:ascii="仿宋" w:hAnsi="仿宋" w:eastAsia="仿宋" w:cs="仿宋"/>
          <w:color w:val="auto"/>
          <w:spacing w:val="20"/>
          <w:sz w:val="28"/>
          <w:szCs w:val="28"/>
          <w:lang w:eastAsia="zh-CN"/>
        </w:rPr>
        <w:t>以</w:t>
      </w:r>
      <w:r>
        <w:rPr>
          <w:rFonts w:hint="eastAsia" w:ascii="仿宋" w:hAnsi="仿宋" w:eastAsia="仿宋" w:cs="仿宋"/>
          <w:color w:val="auto"/>
          <w:spacing w:val="20"/>
          <w:sz w:val="28"/>
          <w:szCs w:val="28"/>
        </w:rPr>
        <w:t>相同幅度进行调整</w:t>
      </w:r>
      <w:r>
        <w:rPr>
          <w:rFonts w:hint="eastAsia" w:ascii="仿宋" w:hAnsi="仿宋" w:eastAsia="仿宋" w:cs="仿宋"/>
          <w:color w:val="auto"/>
          <w:spacing w:val="20"/>
          <w:sz w:val="28"/>
          <w:szCs w:val="28"/>
          <w:lang w:eastAsia="zh-CN"/>
        </w:rPr>
        <w:t>，</w:t>
      </w:r>
      <w:r>
        <w:rPr>
          <w:rFonts w:hint="eastAsia" w:ascii="仿宋" w:hAnsi="仿宋" w:eastAsia="仿宋" w:cs="仿宋"/>
          <w:color w:val="auto"/>
          <w:spacing w:val="20"/>
          <w:sz w:val="28"/>
          <w:szCs w:val="28"/>
          <w:lang w:val="en-US" w:eastAsia="zh-CN"/>
        </w:rPr>
        <w:t>即</w:t>
      </w:r>
      <w:r>
        <w:rPr>
          <w:rFonts w:hint="eastAsia" w:ascii="仿宋" w:hAnsi="仿宋" w:eastAsia="仿宋" w:cs="仿宋"/>
          <w:sz w:val="28"/>
          <w:szCs w:val="28"/>
          <w:lang w:val="en-US" w:eastAsia="zh-CN"/>
        </w:rPr>
        <w:t>到</w:t>
      </w:r>
      <w:r>
        <w:rPr>
          <w:rFonts w:hint="eastAsia" w:ascii="仿宋" w:hAnsi="仿宋" w:eastAsia="仿宋" w:cs="仿宋"/>
          <w:sz w:val="28"/>
          <w:szCs w:val="28"/>
          <w:lang w:eastAsia="zh-CN"/>
        </w:rPr>
        <w:t>货</w:t>
      </w:r>
      <w:r>
        <w:rPr>
          <w:rFonts w:hint="eastAsia" w:ascii="仿宋" w:hAnsi="仿宋" w:eastAsia="仿宋" w:cs="仿宋"/>
          <w:color w:val="auto"/>
          <w:spacing w:val="20"/>
          <w:sz w:val="28"/>
          <w:szCs w:val="28"/>
        </w:rPr>
        <w:t>结算单价</w:t>
      </w:r>
      <w:r>
        <w:rPr>
          <w:rFonts w:hint="eastAsia" w:ascii="仿宋" w:hAnsi="仿宋" w:eastAsia="仿宋" w:cs="仿宋"/>
          <w:color w:val="auto"/>
          <w:spacing w:val="20"/>
          <w:sz w:val="28"/>
          <w:szCs w:val="28"/>
          <w:lang w:val="en-US" w:eastAsia="zh-CN"/>
        </w:rPr>
        <w:t>=到</w:t>
      </w:r>
      <w:r>
        <w:rPr>
          <w:rFonts w:hint="eastAsia" w:ascii="仿宋" w:hAnsi="仿宋" w:eastAsia="仿宋" w:cs="仿宋"/>
          <w:color w:val="auto"/>
          <w:spacing w:val="20"/>
          <w:sz w:val="28"/>
          <w:szCs w:val="28"/>
        </w:rPr>
        <w:t>货</w:t>
      </w:r>
      <w:r>
        <w:rPr>
          <w:rFonts w:hint="eastAsia" w:ascii="仿宋" w:hAnsi="仿宋" w:eastAsia="仿宋" w:cs="仿宋"/>
          <w:color w:val="auto"/>
          <w:spacing w:val="20"/>
          <w:sz w:val="28"/>
          <w:szCs w:val="28"/>
          <w:lang w:val="en-US" w:eastAsia="zh-CN"/>
        </w:rPr>
        <w:t>当</w:t>
      </w:r>
      <w:r>
        <w:rPr>
          <w:rFonts w:hint="eastAsia" w:ascii="仿宋" w:hAnsi="仿宋" w:eastAsia="仿宋" w:cs="仿宋"/>
          <w:color w:val="auto"/>
          <w:spacing w:val="20"/>
          <w:sz w:val="28"/>
          <w:szCs w:val="28"/>
        </w:rPr>
        <w:t>日网价-</w:t>
      </w:r>
      <w:r>
        <w:rPr>
          <w:rFonts w:hint="eastAsia" w:ascii="仿宋" w:hAnsi="仿宋" w:eastAsia="仿宋" w:cs="仿宋"/>
          <w:color w:val="auto"/>
          <w:spacing w:val="20"/>
          <w:sz w:val="28"/>
          <w:szCs w:val="28"/>
          <w:lang w:val="en-US" w:eastAsia="zh-CN"/>
        </w:rPr>
        <w:t>中标网价优惠价（到货当日无网价的沿用前一个工作日网价）</w:t>
      </w:r>
      <w:r>
        <w:rPr>
          <w:rFonts w:hint="eastAsia" w:ascii="仿宋" w:hAnsi="仿宋" w:eastAsia="仿宋" w:cs="仿宋"/>
          <w:color w:val="auto"/>
          <w:sz w:val="28"/>
          <w:szCs w:val="28"/>
          <w:lang w:eastAsia="zh-CN"/>
        </w:rPr>
        <w:t>。</w:t>
      </w:r>
    </w:p>
    <w:p w14:paraId="084036E7">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auto"/>
        <w:ind w:firstLine="560" w:firstLineChars="200"/>
        <w:jc w:val="both"/>
        <w:textAlignment w:val="auto"/>
        <w:rPr>
          <w:rFonts w:hint="eastAsia" w:ascii="仿宋" w:hAnsi="仿宋" w:eastAsia="仿宋" w:cs="仿宋"/>
          <w:color w:val="0000FF"/>
          <w:sz w:val="28"/>
          <w:szCs w:val="28"/>
          <w:lang w:val="en-US" w:eastAsia="zh-CN" w:bidi="zh-CN"/>
        </w:rPr>
      </w:pPr>
      <w:r>
        <w:rPr>
          <w:rFonts w:hint="eastAsia" w:ascii="仿宋" w:hAnsi="仿宋" w:eastAsia="仿宋" w:cs="仿宋"/>
          <w:color w:val="auto"/>
          <w:sz w:val="28"/>
          <w:szCs w:val="28"/>
          <w:lang w:val="en-US" w:eastAsia="zh-CN" w:bidi="zh-CN"/>
        </w:rPr>
        <w:t>3.7 结算方式：采取先货后款方式进行结算。</w:t>
      </w:r>
    </w:p>
    <w:p w14:paraId="6DCD52F1">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auto"/>
        <w:ind w:firstLine="560" w:firstLineChars="200"/>
        <w:jc w:val="both"/>
        <w:textAlignment w:val="auto"/>
        <w:rPr>
          <w:rFonts w:hint="eastAsia" w:ascii="仿宋" w:hAnsi="仿宋" w:eastAsia="仿宋" w:cs="仿宋"/>
          <w:color w:val="auto"/>
          <w:sz w:val="28"/>
          <w:szCs w:val="28"/>
          <w:lang w:val="en-US" w:eastAsia="zh-CN" w:bidi="zh-CN"/>
        </w:rPr>
      </w:pPr>
      <w:r>
        <w:rPr>
          <w:rFonts w:hint="eastAsia" w:ascii="仿宋" w:hAnsi="仿宋" w:eastAsia="仿宋" w:cs="仿宋"/>
          <w:color w:val="auto"/>
          <w:sz w:val="28"/>
          <w:szCs w:val="28"/>
          <w:lang w:val="en-US" w:eastAsia="zh-CN" w:bidi="zh-CN"/>
        </w:rPr>
        <w:t>（1）、中标人货物抵达采购人指定地点，经采购人抽检验收合格后，凭13％全额增值税发票对账结算。</w:t>
      </w:r>
    </w:p>
    <w:p w14:paraId="7C451511">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auto"/>
        <w:ind w:firstLine="560" w:firstLineChars="200"/>
        <w:jc w:val="both"/>
        <w:textAlignment w:val="auto"/>
        <w:rPr>
          <w:rFonts w:hint="eastAsia" w:ascii="仿宋" w:hAnsi="仿宋" w:eastAsia="仿宋" w:cs="仿宋"/>
          <w:color w:val="auto"/>
          <w:sz w:val="28"/>
          <w:szCs w:val="28"/>
          <w:lang w:val="en-US" w:eastAsia="zh-CN" w:bidi="zh-CN"/>
        </w:rPr>
      </w:pPr>
      <w:r>
        <w:rPr>
          <w:rFonts w:hint="eastAsia" w:ascii="仿宋" w:hAnsi="仿宋" w:eastAsia="仿宋" w:cs="仿宋"/>
          <w:color w:val="auto"/>
          <w:sz w:val="28"/>
          <w:szCs w:val="28"/>
          <w:lang w:val="en-US" w:eastAsia="zh-CN" w:bidi="zh-CN"/>
        </w:rPr>
        <w:t>（2）、详细付款方式合同约定。</w:t>
      </w:r>
    </w:p>
    <w:p w14:paraId="0CAE1DE4">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auto"/>
        <w:ind w:firstLine="560" w:firstLineChars="200"/>
        <w:jc w:val="both"/>
        <w:textAlignment w:val="auto"/>
        <w:rPr>
          <w:rFonts w:hint="eastAsia" w:ascii="仿宋" w:hAnsi="仿宋" w:eastAsia="仿宋" w:cs="仿宋"/>
          <w:color w:val="auto"/>
          <w:sz w:val="28"/>
          <w:szCs w:val="28"/>
          <w:lang w:val="en-US" w:eastAsia="zh-CN" w:bidi="zh-CN"/>
        </w:rPr>
      </w:pPr>
      <w:r>
        <w:rPr>
          <w:rFonts w:hint="eastAsia" w:ascii="仿宋" w:hAnsi="仿宋" w:eastAsia="仿宋" w:cs="仿宋"/>
          <w:color w:val="auto"/>
          <w:sz w:val="28"/>
          <w:szCs w:val="28"/>
          <w:lang w:val="en-US" w:eastAsia="zh-CN" w:bidi="zh-CN"/>
        </w:rPr>
        <w:t>3.8 质量检测：供货过程中，采购人与中标人共同完成至少两次以上沥青全指标抽检，检测机构必须具备相应资质且由双方共同委托，检测费用供需双方各承担50％。</w:t>
      </w:r>
    </w:p>
    <w:p w14:paraId="6DD41930">
      <w:pPr>
        <w:pStyle w:val="2"/>
        <w:ind w:left="0" w:leftChars="0" w:firstLine="562" w:firstLineChars="200"/>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4</w:t>
      </w:r>
      <w:r>
        <w:rPr>
          <w:rFonts w:hint="eastAsia" w:ascii="仿宋" w:hAnsi="仿宋" w:eastAsia="仿宋" w:cs="仿宋"/>
          <w:b/>
          <w:bCs/>
          <w:color w:val="auto"/>
          <w:sz w:val="28"/>
          <w:szCs w:val="28"/>
          <w:lang w:val="en-US"/>
        </w:rPr>
        <w:t>、</w:t>
      </w:r>
      <w:r>
        <w:rPr>
          <w:rFonts w:hint="eastAsia" w:ascii="仿宋" w:hAnsi="仿宋" w:eastAsia="仿宋" w:cs="仿宋"/>
          <w:b/>
          <w:bCs/>
          <w:color w:val="auto"/>
          <w:sz w:val="28"/>
          <w:szCs w:val="28"/>
          <w:lang w:val="en-US" w:eastAsia="zh-CN"/>
        </w:rPr>
        <w:t>发布公告的媒介</w:t>
      </w:r>
    </w:p>
    <w:p w14:paraId="24751DD1">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auto"/>
        <w:ind w:firstLine="560" w:firstLineChars="200"/>
        <w:jc w:val="both"/>
        <w:textAlignment w:val="auto"/>
        <w:rPr>
          <w:rFonts w:hint="eastAsia" w:ascii="仿宋" w:hAnsi="仿宋" w:eastAsia="仿宋" w:cs="仿宋"/>
          <w:color w:val="auto"/>
          <w:sz w:val="28"/>
          <w:szCs w:val="28"/>
          <w:lang w:val="en-US" w:eastAsia="zh-CN" w:bidi="zh-CN"/>
        </w:rPr>
      </w:pPr>
      <w:r>
        <w:rPr>
          <w:rFonts w:hint="eastAsia" w:ascii="仿宋" w:hAnsi="仿宋" w:eastAsia="仿宋" w:cs="仿宋"/>
          <w:color w:val="auto"/>
          <w:sz w:val="28"/>
          <w:szCs w:val="28"/>
          <w:lang w:val="en-US" w:eastAsia="zh-CN" w:bidi="zh-CN"/>
        </w:rPr>
        <w:t>本次竞价采购公告在黔云招采电子招标采购交易平台和贵州省公路建设养护集团有限公司</w:t>
      </w:r>
      <w:r>
        <w:rPr>
          <w:rFonts w:hint="eastAsia" w:ascii="仿宋" w:hAnsi="仿宋" w:eastAsia="仿宋" w:cs="仿宋"/>
          <w:sz w:val="30"/>
          <w:szCs w:val="30"/>
          <w:highlight w:val="none"/>
          <w:lang w:val="en-US" w:eastAsia="zh-CN"/>
        </w:rPr>
        <w:t>门户网站上发</w:t>
      </w:r>
      <w:r>
        <w:rPr>
          <w:rFonts w:hint="eastAsia" w:ascii="仿宋" w:hAnsi="仿宋" w:eastAsia="仿宋" w:cs="仿宋"/>
          <w:color w:val="auto"/>
          <w:sz w:val="28"/>
          <w:szCs w:val="28"/>
          <w:lang w:val="en-US" w:eastAsia="zh-CN" w:bidi="zh-CN"/>
        </w:rPr>
        <w:t>布。</w:t>
      </w:r>
    </w:p>
    <w:p w14:paraId="7D415E69">
      <w:pPr>
        <w:pStyle w:val="2"/>
        <w:ind w:left="0" w:leftChars="0" w:firstLine="562" w:firstLineChars="200"/>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5、竞价复函</w:t>
      </w:r>
    </w:p>
    <w:p w14:paraId="06FE8A50">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auto"/>
        <w:ind w:firstLine="560" w:firstLineChars="200"/>
        <w:jc w:val="both"/>
        <w:textAlignment w:val="auto"/>
        <w:rPr>
          <w:rFonts w:hint="default"/>
          <w:lang w:val="en-US" w:eastAsia="zh-CN"/>
        </w:rPr>
      </w:pPr>
      <w:r>
        <w:rPr>
          <w:rFonts w:hint="eastAsia" w:ascii="仿宋" w:hAnsi="仿宋" w:eastAsia="仿宋" w:cs="仿宋"/>
          <w:color w:val="auto"/>
          <w:sz w:val="28"/>
          <w:szCs w:val="28"/>
          <w:lang w:val="en-US" w:eastAsia="zh-CN" w:bidi="zh-CN"/>
        </w:rPr>
        <w:t>有关单位是否参加本次沥青采购活动，请于2026年8月13日下午17时00分前以书面形式复函至本单位，并获取采购文件资料，联系人：顾雄业，电话15329451927。</w:t>
      </w:r>
      <w:bookmarkStart w:id="0" w:name="_GoBack"/>
      <w:bookmarkEnd w:id="0"/>
    </w:p>
    <w:p w14:paraId="6AEEF645">
      <w:pPr>
        <w:pStyle w:val="2"/>
        <w:ind w:left="0" w:leftChars="0" w:firstLine="562" w:firstLineChars="200"/>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6、响应文件递交</w:t>
      </w:r>
    </w:p>
    <w:p w14:paraId="1FC17082">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auto"/>
        <w:ind w:firstLine="560" w:firstLineChars="200"/>
        <w:jc w:val="both"/>
        <w:textAlignment w:val="auto"/>
        <w:rPr>
          <w:rFonts w:hint="eastAsia" w:ascii="仿宋" w:hAnsi="仿宋" w:eastAsia="仿宋" w:cs="仿宋"/>
          <w:color w:val="auto"/>
          <w:sz w:val="28"/>
          <w:szCs w:val="28"/>
          <w:lang w:val="en-US" w:eastAsia="zh-CN" w:bidi="zh-CN"/>
        </w:rPr>
      </w:pPr>
      <w:r>
        <w:rPr>
          <w:rFonts w:hint="eastAsia" w:ascii="仿宋" w:hAnsi="仿宋" w:eastAsia="仿宋" w:cs="仿宋"/>
          <w:color w:val="auto"/>
          <w:sz w:val="28"/>
          <w:szCs w:val="28"/>
          <w:lang w:val="en-US" w:eastAsia="zh-CN" w:bidi="zh-CN"/>
        </w:rPr>
        <w:t>6.1 响应文件递交截止时间：2026年8月14日09时30分前，请投标人在竞价前现场递交纸质版及电子版盖章扫描件报价单。</w:t>
      </w:r>
    </w:p>
    <w:p w14:paraId="17587615">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auto"/>
        <w:ind w:firstLine="560" w:firstLineChars="200"/>
        <w:jc w:val="both"/>
        <w:textAlignment w:val="auto"/>
        <w:rPr>
          <w:rFonts w:hint="eastAsia" w:ascii="仿宋" w:hAnsi="仿宋" w:eastAsia="仿宋" w:cs="仿宋"/>
          <w:color w:val="auto"/>
          <w:sz w:val="28"/>
          <w:szCs w:val="28"/>
          <w:lang w:val="en-US" w:eastAsia="zh-CN" w:bidi="zh-CN"/>
        </w:rPr>
      </w:pPr>
      <w:r>
        <w:rPr>
          <w:rFonts w:hint="eastAsia" w:ascii="仿宋" w:hAnsi="仿宋" w:eastAsia="仿宋" w:cs="仿宋"/>
          <w:color w:val="auto"/>
          <w:sz w:val="28"/>
          <w:szCs w:val="28"/>
          <w:lang w:val="en-US" w:eastAsia="zh-CN" w:bidi="zh-CN"/>
        </w:rPr>
        <w:t>6.2 逾期送达的或者未送达指定地的响应文件，采购人不予受理。</w:t>
      </w:r>
    </w:p>
    <w:p w14:paraId="14FEFB66">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auto"/>
        <w:ind w:firstLine="560" w:firstLineChars="200"/>
        <w:jc w:val="both"/>
        <w:textAlignment w:val="auto"/>
        <w:rPr>
          <w:rFonts w:hint="eastAsia" w:ascii="仿宋" w:hAnsi="仿宋" w:eastAsia="仿宋" w:cs="仿宋"/>
          <w:color w:val="auto"/>
          <w:sz w:val="28"/>
          <w:szCs w:val="28"/>
          <w:lang w:val="en-US" w:eastAsia="zh-CN" w:bidi="zh-CN"/>
        </w:rPr>
      </w:pPr>
      <w:r>
        <w:rPr>
          <w:rFonts w:hint="eastAsia" w:ascii="仿宋" w:hAnsi="仿宋" w:eastAsia="仿宋" w:cs="仿宋"/>
          <w:color w:val="auto"/>
          <w:sz w:val="28"/>
          <w:szCs w:val="28"/>
          <w:lang w:val="en-US" w:eastAsia="zh-CN" w:bidi="zh-CN"/>
        </w:rPr>
        <w:t>6.3.本采购文件未尽事宜由黔东南公路建设养护有限公司解释。</w:t>
      </w:r>
    </w:p>
    <w:p w14:paraId="2AFFABAB">
      <w:pPr>
        <w:pStyle w:val="2"/>
        <w:ind w:left="0" w:leftChars="0" w:firstLine="562" w:firstLineChars="200"/>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7、联系方式</w:t>
      </w:r>
    </w:p>
    <w:p w14:paraId="4DF56E43">
      <w:pPr>
        <w:pStyle w:val="2"/>
        <w:ind w:left="0" w:leftChars="0" w:firstLine="560" w:firstLineChars="200"/>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 xml:space="preserve">地  址:凯里经济开发区开元大道黔东南公路建设养护有限公司   </w:t>
      </w:r>
    </w:p>
    <w:p w14:paraId="201C1180">
      <w:pPr>
        <w:pStyle w:val="2"/>
        <w:ind w:left="0" w:leftChars="0" w:firstLine="560" w:firstLineChars="200"/>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 xml:space="preserve">联系人:顾雄业   </w:t>
      </w:r>
    </w:p>
    <w:p w14:paraId="5594D277">
      <w:pPr>
        <w:pStyle w:val="2"/>
        <w:ind w:left="0" w:leftChars="0" w:firstLine="560" w:firstLineChars="200"/>
        <w:rPr>
          <w:rFonts w:hint="eastAsia" w:ascii="仿宋" w:hAnsi="仿宋" w:eastAsia="仿宋" w:cs="仿宋"/>
          <w:b/>
          <w:bCs/>
          <w:color w:val="auto"/>
          <w:sz w:val="28"/>
          <w:szCs w:val="28"/>
          <w:lang w:val="en-US" w:eastAsia="zh-CN"/>
        </w:rPr>
      </w:pPr>
      <w:r>
        <w:rPr>
          <w:rFonts w:hint="eastAsia" w:ascii="仿宋" w:hAnsi="仿宋" w:eastAsia="仿宋" w:cs="仿宋"/>
          <w:b w:val="0"/>
          <w:bCs w:val="0"/>
          <w:color w:val="auto"/>
          <w:sz w:val="28"/>
          <w:szCs w:val="28"/>
          <w:lang w:val="en-US" w:eastAsia="zh-CN"/>
        </w:rPr>
        <w:t>电  话:15329451927</w:t>
      </w:r>
      <w:r>
        <w:rPr>
          <w:rFonts w:hint="eastAsia" w:ascii="仿宋" w:hAnsi="仿宋" w:eastAsia="仿宋" w:cs="仿宋"/>
          <w:b/>
          <w:bCs/>
          <w:color w:val="auto"/>
          <w:sz w:val="28"/>
          <w:szCs w:val="28"/>
          <w:lang w:val="en-US" w:eastAsia="zh-CN"/>
        </w:rPr>
        <w:t xml:space="preserve">      </w:t>
      </w:r>
    </w:p>
    <w:p w14:paraId="6D9F27CC">
      <w:pPr>
        <w:pStyle w:val="2"/>
        <w:ind w:left="0" w:leftChars="0" w:firstLine="562" w:firstLineChars="200"/>
        <w:rPr>
          <w:rFonts w:hint="eastAsia" w:ascii="仿宋" w:hAnsi="仿宋" w:eastAsia="仿宋" w:cs="仿宋"/>
          <w:b w:val="0"/>
          <w:bCs/>
          <w:color w:val="auto"/>
          <w:sz w:val="28"/>
          <w:szCs w:val="28"/>
          <w:u w:val="none"/>
          <w:lang w:val="en-US" w:eastAsia="zh-CN"/>
        </w:rPr>
      </w:pPr>
      <w:r>
        <w:rPr>
          <w:rFonts w:hint="eastAsia" w:ascii="仿宋" w:hAnsi="仿宋" w:eastAsia="仿宋" w:cs="仿宋"/>
          <w:b/>
          <w:bCs/>
          <w:color w:val="auto"/>
          <w:sz w:val="28"/>
          <w:szCs w:val="28"/>
          <w:lang w:val="en-US" w:eastAsia="zh-CN"/>
        </w:rPr>
        <w:t xml:space="preserve"> </w:t>
      </w:r>
      <w:r>
        <w:rPr>
          <w:rFonts w:hint="eastAsia" w:ascii="仿宋" w:hAnsi="仿宋" w:eastAsia="仿宋" w:cs="仿宋"/>
          <w:b w:val="0"/>
          <w:bCs/>
          <w:color w:val="auto"/>
          <w:sz w:val="28"/>
          <w:szCs w:val="28"/>
          <w:u w:val="none"/>
          <w:lang w:val="en-US" w:eastAsia="zh-CN"/>
        </w:rPr>
        <w:t xml:space="preserve">         </w:t>
      </w:r>
    </w:p>
    <w:p w14:paraId="4C5174F7">
      <w:pPr>
        <w:keepNext w:val="0"/>
        <w:keepLines w:val="0"/>
        <w:pageBreakBefore w:val="0"/>
        <w:widowControl/>
        <w:kinsoku/>
        <w:wordWrap/>
        <w:overflowPunct/>
        <w:topLinePunct w:val="0"/>
        <w:autoSpaceDE w:val="0"/>
        <w:autoSpaceDN w:val="0"/>
        <w:bidi w:val="0"/>
        <w:adjustRightInd/>
        <w:snapToGrid/>
        <w:spacing w:after="240" w:line="300" w:lineRule="auto"/>
        <w:ind w:left="322" w:leftChars="19" w:hanging="280" w:hangingChars="100"/>
        <w:jc w:val="center"/>
        <w:textAlignment w:val="auto"/>
        <w:rPr>
          <w:rFonts w:hint="eastAsia" w:ascii="仿宋" w:hAnsi="仿宋" w:eastAsia="仿宋" w:cs="仿宋"/>
          <w:color w:val="auto"/>
          <w:sz w:val="28"/>
          <w:szCs w:val="28"/>
          <w:u w:val="none"/>
          <w:lang w:val="en-US"/>
        </w:rPr>
      </w:pPr>
      <w:r>
        <w:rPr>
          <w:rFonts w:hint="eastAsia" w:ascii="仿宋" w:hAnsi="仿宋" w:eastAsia="仿宋" w:cs="仿宋"/>
          <w:b w:val="0"/>
          <w:bCs/>
          <w:color w:val="auto"/>
          <w:sz w:val="28"/>
          <w:szCs w:val="28"/>
          <w:u w:val="none"/>
          <w:lang w:val="en-US" w:eastAsia="zh-CN"/>
        </w:rPr>
        <w:t xml:space="preserve">                     采购单位：</w:t>
      </w:r>
      <w:r>
        <w:rPr>
          <w:rFonts w:hint="eastAsia" w:ascii="仿宋" w:hAnsi="仿宋" w:eastAsia="仿宋" w:cs="宋体"/>
          <w:kern w:val="0"/>
          <w:sz w:val="28"/>
          <w:szCs w:val="28"/>
          <w:lang w:eastAsia="zh-CN"/>
        </w:rPr>
        <w:t>黔东南公路建设养护有限公司</w:t>
      </w:r>
    </w:p>
    <w:p w14:paraId="5EE04C3B">
      <w:pPr>
        <w:keepNext w:val="0"/>
        <w:keepLines w:val="0"/>
        <w:pageBreakBefore w:val="0"/>
        <w:widowControl/>
        <w:kinsoku/>
        <w:wordWrap/>
        <w:overflowPunct/>
        <w:topLinePunct w:val="0"/>
        <w:autoSpaceDE w:val="0"/>
        <w:autoSpaceDN w:val="0"/>
        <w:bidi w:val="0"/>
        <w:adjustRightInd/>
        <w:snapToGrid/>
        <w:spacing w:after="240" w:line="300" w:lineRule="auto"/>
        <w:ind w:left="322" w:leftChars="19" w:hanging="280" w:hangingChars="100"/>
        <w:jc w:val="center"/>
        <w:textAlignment w:val="auto"/>
        <w:rPr>
          <w:rFonts w:hint="eastAsia"/>
          <w:lang w:val="en-US" w:eastAsia="zh-CN"/>
        </w:rPr>
      </w:pPr>
      <w:r>
        <w:rPr>
          <w:rFonts w:hint="eastAsia" w:ascii="仿宋" w:hAnsi="仿宋" w:eastAsia="仿宋" w:cs="仿宋"/>
          <w:color w:val="auto"/>
          <w:sz w:val="28"/>
          <w:szCs w:val="28"/>
          <w:lang w:val="en-US"/>
        </w:rPr>
        <w:t xml:space="preserve">                           </w:t>
      </w:r>
      <w:r>
        <w:rPr>
          <w:rFonts w:hint="eastAsia" w:ascii="仿宋" w:hAnsi="仿宋" w:eastAsia="仿宋" w:cs="仿宋"/>
          <w:color w:val="auto"/>
          <w:sz w:val="28"/>
          <w:szCs w:val="28"/>
          <w:highlight w:val="none"/>
          <w:lang w:val="en-US"/>
        </w:rPr>
        <w:t>20</w:t>
      </w:r>
      <w:r>
        <w:rPr>
          <w:rFonts w:hint="eastAsia" w:ascii="仿宋" w:hAnsi="仿宋" w:eastAsia="仿宋" w:cs="仿宋"/>
          <w:color w:val="auto"/>
          <w:sz w:val="28"/>
          <w:szCs w:val="28"/>
          <w:highlight w:val="none"/>
          <w:lang w:val="en-US" w:eastAsia="zh-CN"/>
        </w:rPr>
        <w:t>26</w:t>
      </w:r>
      <w:r>
        <w:rPr>
          <w:rFonts w:hint="eastAsia" w:ascii="仿宋" w:hAnsi="仿宋" w:eastAsia="仿宋" w:cs="仿宋"/>
          <w:color w:val="auto"/>
          <w:sz w:val="28"/>
          <w:szCs w:val="28"/>
          <w:highlight w:val="none"/>
          <w:lang w:val="en-US"/>
        </w:rPr>
        <w:t>年</w:t>
      </w: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lang w:val="en-US"/>
        </w:rPr>
        <w:t>月</w:t>
      </w:r>
      <w:r>
        <w:rPr>
          <w:rFonts w:hint="eastAsia" w:ascii="仿宋" w:hAnsi="仿宋" w:eastAsia="仿宋" w:cs="仿宋"/>
          <w:color w:val="auto"/>
          <w:sz w:val="28"/>
          <w:szCs w:val="28"/>
          <w:highlight w:val="none"/>
          <w:lang w:val="en-US" w:eastAsia="zh-CN"/>
        </w:rPr>
        <w:t>10</w:t>
      </w:r>
      <w:r>
        <w:rPr>
          <w:rFonts w:hint="eastAsia" w:ascii="仿宋" w:hAnsi="仿宋" w:eastAsia="仿宋" w:cs="仿宋"/>
          <w:color w:val="auto"/>
          <w:sz w:val="28"/>
          <w:szCs w:val="28"/>
          <w:highlight w:val="none"/>
          <w:lang w:val="en-US"/>
        </w:rPr>
        <w:t>日</w:t>
      </w:r>
    </w:p>
    <w:sectPr>
      <w:headerReference r:id="rId3" w:type="default"/>
      <w:footerReference r:id="rId4" w:type="default"/>
      <w:pgSz w:w="11910" w:h="16840"/>
      <w:pgMar w:top="1560" w:right="1680" w:bottom="1185" w:left="1680" w:header="720" w:footer="720" w:gutter="0"/>
      <w:pgNumType w:fmt="decimal" w:start="1"/>
      <w:cols w:equalWidth="0" w:num="1">
        <w:col w:w="855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PMingLiU">
    <w:altName w:val="PMingLiU-ExtB"/>
    <w:panose1 w:val="02020500000000000000"/>
    <w:charset w:val="88"/>
    <w:family w:val="auto"/>
    <w:pitch w:val="default"/>
    <w:sig w:usb0="00000000" w:usb1="00000000" w:usb2="00000016" w:usb3="00000000" w:csb0="00100001" w:csb1="00000000"/>
  </w:font>
  <w:font w:name="文泉驿微米黑">
    <w:altName w:val="黑体"/>
    <w:panose1 w:val="020B0606030804020204"/>
    <w:charset w:val="86"/>
    <w:family w:val="auto"/>
    <w:pitch w:val="default"/>
    <w:sig w:usb0="00000000" w:usb1="00000000" w:usb2="00800036" w:usb3="00000000" w:csb0="603E019F" w:csb1="DFD70000"/>
  </w:font>
  <w:font w:name="方正细等线简体">
    <w:altName w:val="汉仪中宋简"/>
    <w:panose1 w:val="02010601030101010101"/>
    <w:charset w:val="86"/>
    <w:family w:val="auto"/>
    <w:pitch w:val="default"/>
    <w:sig w:usb0="00000000" w:usb1="00000000" w:usb2="00000000" w:usb3="00000000" w:csb0="00040000" w:csb1="00000000"/>
  </w:font>
  <w:font w:name="汉仪中宋简">
    <w:panose1 w:val="02010600000101010101"/>
    <w:charset w:val="86"/>
    <w:family w:val="auto"/>
    <w:pitch w:val="default"/>
    <w:sig w:usb0="800002BF" w:usb1="184F6CF8" w:usb2="00000012" w:usb3="00000000" w:csb0="00020001" w:csb1="00000000"/>
  </w:font>
  <w:font w:name="PMingLiU-ExtB">
    <w:panose1 w:val="02020500000000000000"/>
    <w:charset w:val="88"/>
    <w:family w:val="auto"/>
    <w:pitch w:val="default"/>
    <w:sig w:usb0="8000002F" w:usb1="02000008" w:usb2="00000000" w:usb3="00000000" w:csb0="00100001" w:csb1="00000000"/>
  </w:font>
  <w:font w:name="KSOF2BE21744">
    <w:panose1 w:val="02020500000000000000"/>
    <w:charset w:val="88"/>
    <w:family w:val="auto"/>
    <w:pitch w:val="default"/>
    <w:sig w:usb0="00000001" w:usb1="00000000" w:usb2="00000000" w:usb3="00000000" w:csb0="001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024ED">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31892A">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631892A">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F24EE">
    <w:pPr>
      <w:pStyle w:val="9"/>
      <w:jc w:val="both"/>
      <w:rPr>
        <w:rFonts w:hint="eastAsia" w:ascii="方正细等线简体" w:hAnsi="方正细等线简体" w:eastAsia="方正细等线简体" w:cs="方正细等线简体"/>
        <w:lang w:val="en-US" w:eastAsia="zh-CN"/>
      </w:rPr>
    </w:pPr>
    <w:r>
      <w:rPr>
        <w:rFonts w:hint="default"/>
        <w:lang w:val="en-US"/>
      </w:rPr>
      <w:drawing>
        <wp:anchor distT="0" distB="0" distL="114300" distR="114300" simplePos="0" relativeHeight="251660288" behindDoc="0" locked="0" layoutInCell="1" allowOverlap="1">
          <wp:simplePos x="0" y="0"/>
          <wp:positionH relativeFrom="column">
            <wp:posOffset>-7620</wp:posOffset>
          </wp:positionH>
          <wp:positionV relativeFrom="paragraph">
            <wp:posOffset>-307340</wp:posOffset>
          </wp:positionV>
          <wp:extent cx="1245870" cy="812800"/>
          <wp:effectExtent l="0" t="0" r="11430" b="0"/>
          <wp:wrapSquare wrapText="bothSides"/>
          <wp:docPr id="18" name="图片 18" descr="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 14"/>
                  <pic:cNvPicPr>
                    <a:picLocks noChangeAspect="1"/>
                  </pic:cNvPicPr>
                </pic:nvPicPr>
                <pic:blipFill>
                  <a:blip r:embed="rId1"/>
                  <a:stretch>
                    <a:fillRect/>
                  </a:stretch>
                </pic:blipFill>
                <pic:spPr>
                  <a:xfrm>
                    <a:off x="0" y="0"/>
                    <a:ext cx="1245870" cy="812800"/>
                  </a:xfrm>
                  <a:prstGeom prst="rect">
                    <a:avLst/>
                  </a:prstGeom>
                </pic:spPr>
              </pic:pic>
            </a:graphicData>
          </a:graphic>
        </wp:anchor>
      </w:drawing>
    </w:r>
    <w:r>
      <w:rPr>
        <w:rFonts w:hint="eastAsia" w:ascii="方正细等线简体" w:hAnsi="方正细等线简体" w:eastAsia="方正细等线简体" w:cs="方正细等线简体"/>
        <w:lang w:val="en-US" w:eastAsia="zh-CN"/>
      </w:rPr>
      <w:t xml:space="preserve">                               </w:t>
    </w:r>
  </w:p>
  <w:p w14:paraId="79807172">
    <w:pPr>
      <w:pStyle w:val="9"/>
      <w:jc w:val="left"/>
      <w:rPr>
        <w:rFonts w:hint="default" w:ascii="方正细等线简体" w:hAnsi="方正细等线简体" w:eastAsia="方正细等线简体" w:cs="方正细等线简体"/>
        <w:lang w:val="en-US" w:eastAsia="zh-CN"/>
      </w:rPr>
    </w:pPr>
    <w:r>
      <w:rPr>
        <w:rFonts w:hint="eastAsia" w:ascii="方正细等线简体" w:hAnsi="方正细等线简体" w:eastAsia="方正细等线简体" w:cs="方正细等线简体"/>
        <w:lang w:val="en-US" w:eastAsia="zh-CN"/>
      </w:rPr>
      <w:t xml:space="preserve">                                                                                      竞价采购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hYjJmYzFlMWE0MjllYjIyZDdkM2YxZjVkYjM1Y2MifQ=="/>
  </w:docVars>
  <w:rsids>
    <w:rsidRoot w:val="003E159A"/>
    <w:rsid w:val="00076259"/>
    <w:rsid w:val="000A2BAC"/>
    <w:rsid w:val="00147A13"/>
    <w:rsid w:val="002462C2"/>
    <w:rsid w:val="00255D28"/>
    <w:rsid w:val="003105A1"/>
    <w:rsid w:val="003E159A"/>
    <w:rsid w:val="00407EC9"/>
    <w:rsid w:val="00484067"/>
    <w:rsid w:val="004D08A8"/>
    <w:rsid w:val="00540ACE"/>
    <w:rsid w:val="005645AE"/>
    <w:rsid w:val="00694377"/>
    <w:rsid w:val="007C3AAB"/>
    <w:rsid w:val="008A1FFD"/>
    <w:rsid w:val="008F30A3"/>
    <w:rsid w:val="00902425"/>
    <w:rsid w:val="009116A7"/>
    <w:rsid w:val="009C5FFC"/>
    <w:rsid w:val="00A74DD8"/>
    <w:rsid w:val="00A779D3"/>
    <w:rsid w:val="00B20BA2"/>
    <w:rsid w:val="00C106FC"/>
    <w:rsid w:val="00C276B7"/>
    <w:rsid w:val="00C8574C"/>
    <w:rsid w:val="00CB6215"/>
    <w:rsid w:val="00CC1E94"/>
    <w:rsid w:val="00CF67D8"/>
    <w:rsid w:val="00D33AD0"/>
    <w:rsid w:val="00D73D23"/>
    <w:rsid w:val="00D914A5"/>
    <w:rsid w:val="00DB15CE"/>
    <w:rsid w:val="00DB5A24"/>
    <w:rsid w:val="00E64996"/>
    <w:rsid w:val="00E81C97"/>
    <w:rsid w:val="00E824D7"/>
    <w:rsid w:val="00ED61C8"/>
    <w:rsid w:val="00F53640"/>
    <w:rsid w:val="00F85142"/>
    <w:rsid w:val="00FA201A"/>
    <w:rsid w:val="00FB0318"/>
    <w:rsid w:val="00FE71D5"/>
    <w:rsid w:val="012F6E0E"/>
    <w:rsid w:val="01326AEC"/>
    <w:rsid w:val="01AC44E6"/>
    <w:rsid w:val="01C5370D"/>
    <w:rsid w:val="05764899"/>
    <w:rsid w:val="065603EF"/>
    <w:rsid w:val="0731661F"/>
    <w:rsid w:val="07584CE6"/>
    <w:rsid w:val="0B77225B"/>
    <w:rsid w:val="0CD21A5D"/>
    <w:rsid w:val="0D160430"/>
    <w:rsid w:val="0DC45CC1"/>
    <w:rsid w:val="0E0514AA"/>
    <w:rsid w:val="0E5E55E3"/>
    <w:rsid w:val="0EDF2C71"/>
    <w:rsid w:val="11150F9A"/>
    <w:rsid w:val="111559BB"/>
    <w:rsid w:val="118F0306"/>
    <w:rsid w:val="11904EE0"/>
    <w:rsid w:val="13FC3A32"/>
    <w:rsid w:val="14025B64"/>
    <w:rsid w:val="14165EB9"/>
    <w:rsid w:val="14D81A66"/>
    <w:rsid w:val="15BF7790"/>
    <w:rsid w:val="17C7710A"/>
    <w:rsid w:val="185A23C8"/>
    <w:rsid w:val="1A846A10"/>
    <w:rsid w:val="1CAC0E41"/>
    <w:rsid w:val="1F0B53B1"/>
    <w:rsid w:val="1F6C2AD5"/>
    <w:rsid w:val="1F7C076B"/>
    <w:rsid w:val="1FB43D8C"/>
    <w:rsid w:val="20744805"/>
    <w:rsid w:val="21B53A1F"/>
    <w:rsid w:val="21E6458E"/>
    <w:rsid w:val="22653FE2"/>
    <w:rsid w:val="22BD2FB3"/>
    <w:rsid w:val="22E86597"/>
    <w:rsid w:val="23132DCE"/>
    <w:rsid w:val="23CA072A"/>
    <w:rsid w:val="23D64892"/>
    <w:rsid w:val="249C3453"/>
    <w:rsid w:val="254215B0"/>
    <w:rsid w:val="25515515"/>
    <w:rsid w:val="25585215"/>
    <w:rsid w:val="25E20F82"/>
    <w:rsid w:val="260C4691"/>
    <w:rsid w:val="27FB21B9"/>
    <w:rsid w:val="288B4C90"/>
    <w:rsid w:val="2B192788"/>
    <w:rsid w:val="2B4753C7"/>
    <w:rsid w:val="2CDC7C10"/>
    <w:rsid w:val="2E865011"/>
    <w:rsid w:val="2ECD6C76"/>
    <w:rsid w:val="2F2A42C6"/>
    <w:rsid w:val="32984D6D"/>
    <w:rsid w:val="3316116C"/>
    <w:rsid w:val="331E5656"/>
    <w:rsid w:val="334E7263"/>
    <w:rsid w:val="336A6DD5"/>
    <w:rsid w:val="33C77A69"/>
    <w:rsid w:val="365D4493"/>
    <w:rsid w:val="36BB3383"/>
    <w:rsid w:val="38AD5420"/>
    <w:rsid w:val="39232473"/>
    <w:rsid w:val="3A46388D"/>
    <w:rsid w:val="3AAD3AE0"/>
    <w:rsid w:val="3D6E0485"/>
    <w:rsid w:val="3F483E7A"/>
    <w:rsid w:val="3F7B2843"/>
    <w:rsid w:val="42530910"/>
    <w:rsid w:val="42DF7133"/>
    <w:rsid w:val="433F60A6"/>
    <w:rsid w:val="4761550E"/>
    <w:rsid w:val="4AE51B4D"/>
    <w:rsid w:val="4B236DF9"/>
    <w:rsid w:val="4D7D66E2"/>
    <w:rsid w:val="51246DFA"/>
    <w:rsid w:val="51634335"/>
    <w:rsid w:val="52872918"/>
    <w:rsid w:val="53FF655F"/>
    <w:rsid w:val="54140002"/>
    <w:rsid w:val="573EC6E2"/>
    <w:rsid w:val="574513B0"/>
    <w:rsid w:val="585D6B50"/>
    <w:rsid w:val="59294AF3"/>
    <w:rsid w:val="599E665F"/>
    <w:rsid w:val="59C005E0"/>
    <w:rsid w:val="5A2E1258"/>
    <w:rsid w:val="5EA07A3E"/>
    <w:rsid w:val="5F8C42AC"/>
    <w:rsid w:val="60D343A9"/>
    <w:rsid w:val="60E64E61"/>
    <w:rsid w:val="621A25FF"/>
    <w:rsid w:val="63895709"/>
    <w:rsid w:val="64481875"/>
    <w:rsid w:val="64832C8B"/>
    <w:rsid w:val="65B5762C"/>
    <w:rsid w:val="65BF5AA9"/>
    <w:rsid w:val="662FEBFD"/>
    <w:rsid w:val="67161AAD"/>
    <w:rsid w:val="67CB6A59"/>
    <w:rsid w:val="67F11E93"/>
    <w:rsid w:val="689E24F1"/>
    <w:rsid w:val="690F274E"/>
    <w:rsid w:val="6A05398F"/>
    <w:rsid w:val="6BF83D38"/>
    <w:rsid w:val="6C860354"/>
    <w:rsid w:val="6D142D9C"/>
    <w:rsid w:val="6DDB17B3"/>
    <w:rsid w:val="712358FE"/>
    <w:rsid w:val="7273191B"/>
    <w:rsid w:val="73E05576"/>
    <w:rsid w:val="7502134D"/>
    <w:rsid w:val="764B0235"/>
    <w:rsid w:val="7AEF2F55"/>
    <w:rsid w:val="7CAF54D2"/>
    <w:rsid w:val="7CDD02F8"/>
    <w:rsid w:val="7EF43408"/>
    <w:rsid w:val="7EFF4D0F"/>
    <w:rsid w:val="7FEB3548"/>
    <w:rsid w:val="7FF12DAF"/>
    <w:rsid w:val="7FF56F08"/>
    <w:rsid w:val="B7FFDE39"/>
    <w:rsid w:val="C5EEDEB1"/>
    <w:rsid w:val="F73F0B40"/>
    <w:rsid w:val="F7BD6387"/>
    <w:rsid w:val="F9779BB1"/>
    <w:rsid w:val="FEDD1017"/>
    <w:rsid w:val="FFECF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1"/>
    <w:basedOn w:val="1"/>
    <w:next w:val="1"/>
    <w:qFormat/>
    <w:uiPriority w:val="1"/>
    <w:pPr>
      <w:spacing w:before="58"/>
      <w:ind w:left="981" w:right="1882"/>
      <w:jc w:val="center"/>
      <w:outlineLvl w:val="0"/>
    </w:pPr>
    <w:rPr>
      <w:sz w:val="44"/>
      <w:szCs w:val="44"/>
    </w:rPr>
  </w:style>
  <w:style w:type="paragraph" w:styleId="4">
    <w:name w:val="heading 2"/>
    <w:basedOn w:val="1"/>
    <w:next w:val="1"/>
    <w:qFormat/>
    <w:uiPriority w:val="1"/>
    <w:pPr>
      <w:ind w:left="759"/>
      <w:outlineLvl w:val="1"/>
    </w:pPr>
    <w:rPr>
      <w:rFonts w:ascii="仿宋" w:hAnsi="仿宋" w:eastAsia="仿宋" w:cs="仿宋"/>
      <w:sz w:val="32"/>
      <w:szCs w:val="32"/>
    </w:rPr>
  </w:style>
  <w:style w:type="paragraph" w:styleId="5">
    <w:name w:val="heading 3"/>
    <w:basedOn w:val="1"/>
    <w:next w:val="1"/>
    <w:qFormat/>
    <w:uiPriority w:val="1"/>
    <w:pPr>
      <w:ind w:left="775"/>
      <w:outlineLvl w:val="2"/>
    </w:pPr>
    <w:rPr>
      <w:b/>
      <w:bCs/>
      <w:sz w:val="28"/>
      <w:szCs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firstLine="0"/>
    </w:pPr>
  </w:style>
  <w:style w:type="paragraph" w:styleId="6">
    <w:name w:val="Body Text"/>
    <w:basedOn w:val="1"/>
    <w:qFormat/>
    <w:uiPriority w:val="1"/>
    <w:rPr>
      <w:sz w:val="28"/>
      <w:szCs w:val="28"/>
    </w:rPr>
  </w:style>
  <w:style w:type="paragraph" w:styleId="7">
    <w:name w:val="Body Text Indent"/>
    <w:basedOn w:val="1"/>
    <w:qFormat/>
    <w:uiPriority w:val="0"/>
    <w:pPr>
      <w:ind w:left="735" w:leftChars="350" w:firstLine="640" w:firstLineChars="200"/>
    </w:pPr>
    <w:rPr>
      <w:rFonts w:eastAsia="仿宋_GB2312"/>
      <w:kern w:val="0"/>
      <w:sz w:val="32"/>
      <w:szCs w:val="20"/>
    </w:rPr>
  </w:style>
  <w:style w:type="paragraph" w:styleId="8">
    <w:name w:val="footer"/>
    <w:basedOn w:val="1"/>
    <w:link w:val="19"/>
    <w:qFormat/>
    <w:uiPriority w:val="0"/>
    <w:pPr>
      <w:tabs>
        <w:tab w:val="center" w:pos="4153"/>
        <w:tab w:val="right" w:pos="8306"/>
      </w:tabs>
      <w:snapToGrid w:val="0"/>
    </w:pPr>
    <w:rPr>
      <w:sz w:val="18"/>
      <w:szCs w:val="18"/>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Hyperlink"/>
    <w:basedOn w:val="12"/>
    <w:qFormat/>
    <w:uiPriority w:val="0"/>
    <w:rPr>
      <w:color w:val="0000FF"/>
      <w:u w:val="single"/>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ind w:left="213" w:firstLine="560"/>
    </w:pPr>
  </w:style>
  <w:style w:type="paragraph" w:customStyle="1" w:styleId="16">
    <w:name w:val="Table Paragraph"/>
    <w:basedOn w:val="1"/>
    <w:qFormat/>
    <w:uiPriority w:val="1"/>
    <w:pPr>
      <w:jc w:val="center"/>
    </w:pPr>
    <w:rPr>
      <w:rFonts w:ascii="PMingLiU" w:hAnsi="PMingLiU" w:eastAsia="PMingLiU" w:cs="PMingLiU"/>
    </w:rPr>
  </w:style>
  <w:style w:type="paragraph" w:customStyle="1" w:styleId="17">
    <w:name w:val="样式1"/>
    <w:basedOn w:val="1"/>
    <w:qFormat/>
    <w:uiPriority w:val="0"/>
    <w:pPr>
      <w:jc w:val="both"/>
    </w:pPr>
    <w:rPr>
      <w:sz w:val="21"/>
      <w:szCs w:val="21"/>
    </w:rPr>
  </w:style>
  <w:style w:type="character" w:customStyle="1" w:styleId="18">
    <w:name w:val="页眉 Char"/>
    <w:basedOn w:val="12"/>
    <w:link w:val="9"/>
    <w:qFormat/>
    <w:uiPriority w:val="0"/>
    <w:rPr>
      <w:rFonts w:ascii="宋体" w:hAnsi="宋体" w:eastAsia="宋体" w:cs="宋体"/>
      <w:sz w:val="18"/>
      <w:szCs w:val="18"/>
      <w:lang w:val="zh-CN" w:bidi="zh-CN"/>
    </w:rPr>
  </w:style>
  <w:style w:type="character" w:customStyle="1" w:styleId="19">
    <w:name w:val="页脚 Char"/>
    <w:basedOn w:val="12"/>
    <w:link w:val="8"/>
    <w:qFormat/>
    <w:uiPriority w:val="0"/>
    <w:rPr>
      <w:rFonts w:ascii="宋体" w:hAnsi="宋体" w:eastAsia="宋体" w:cs="宋体"/>
      <w:sz w:val="18"/>
      <w:szCs w:val="18"/>
      <w:lang w:val="zh-CN" w:bidi="zh-CN"/>
    </w:rPr>
  </w:style>
  <w:style w:type="paragraph" w:customStyle="1" w:styleId="20">
    <w:name w:val="列出段落1"/>
    <w:basedOn w:val="1"/>
    <w:qFormat/>
    <w:uiPriority w:val="0"/>
    <w:pPr>
      <w:autoSpaceDE/>
      <w:autoSpaceDN/>
      <w:ind w:firstLine="420" w:firstLineChars="200"/>
      <w:jc w:val="both"/>
    </w:pPr>
    <w:rPr>
      <w:rFonts w:ascii="Calibri" w:hAnsi="Calibri" w:cs="Times New Roman"/>
      <w:kern w:val="2"/>
      <w:sz w:val="21"/>
      <w:szCs w:val="21"/>
      <w:lang w:val="en-US" w:bidi="ar-SA"/>
    </w:rPr>
  </w:style>
  <w:style w:type="character" w:customStyle="1" w:styleId="21">
    <w:name w:val="font61"/>
    <w:basedOn w:val="12"/>
    <w:qFormat/>
    <w:uiPriority w:val="0"/>
    <w:rPr>
      <w:rFonts w:hint="eastAsia" w:ascii="宋体" w:hAnsi="宋体" w:eastAsia="宋体" w:cs="宋体"/>
      <w:color w:val="000000"/>
      <w:sz w:val="20"/>
      <w:szCs w:val="20"/>
      <w:u w:val="single"/>
    </w:rPr>
  </w:style>
  <w:style w:type="character" w:customStyle="1" w:styleId="22">
    <w:name w:val="font41"/>
    <w:basedOn w:val="12"/>
    <w:qFormat/>
    <w:uiPriority w:val="0"/>
    <w:rPr>
      <w:rFonts w:hint="eastAsia" w:ascii="宋体" w:hAnsi="宋体" w:eastAsia="宋体" w:cs="宋体"/>
      <w:color w:val="000000"/>
      <w:sz w:val="20"/>
      <w:szCs w:val="20"/>
      <w:u w:val="none"/>
    </w:rPr>
  </w:style>
  <w:style w:type="character" w:customStyle="1" w:styleId="23">
    <w:name w:val="font21"/>
    <w:basedOn w:val="12"/>
    <w:qFormat/>
    <w:uiPriority w:val="0"/>
    <w:rPr>
      <w:rFonts w:hint="eastAsia" w:ascii="宋体" w:hAnsi="宋体" w:eastAsia="宋体" w:cs="宋体"/>
      <w:color w:val="FF0000"/>
      <w:sz w:val="20"/>
      <w:szCs w:val="20"/>
      <w:u w:val="none"/>
    </w:rPr>
  </w:style>
  <w:style w:type="character" w:customStyle="1" w:styleId="24">
    <w:name w:val="font31"/>
    <w:basedOn w:val="12"/>
    <w:qFormat/>
    <w:uiPriority w:val="0"/>
    <w:rPr>
      <w:rFonts w:hint="eastAsia" w:ascii="宋体" w:hAnsi="宋体" w:eastAsia="宋体" w:cs="宋体"/>
      <w:color w:val="000000"/>
      <w:sz w:val="24"/>
      <w:szCs w:val="24"/>
      <w:u w:val="none"/>
    </w:rPr>
  </w:style>
  <w:style w:type="character" w:customStyle="1" w:styleId="25">
    <w:name w:val="font51"/>
    <w:basedOn w:val="12"/>
    <w:qFormat/>
    <w:uiPriority w:val="0"/>
    <w:rPr>
      <w:rFonts w:hint="eastAsia" w:ascii="宋体" w:hAnsi="宋体" w:eastAsia="宋体" w:cs="宋体"/>
      <w:b/>
      <w:bCs/>
      <w:color w:val="000000"/>
      <w:sz w:val="20"/>
      <w:szCs w:val="20"/>
      <w:u w:val="none"/>
    </w:rPr>
  </w:style>
  <w:style w:type="character" w:customStyle="1" w:styleId="26">
    <w:name w:val="font11"/>
    <w:basedOn w:val="12"/>
    <w:qFormat/>
    <w:uiPriority w:val="0"/>
    <w:rPr>
      <w:rFonts w:hint="eastAsia" w:ascii="仿宋" w:hAnsi="仿宋" w:eastAsia="仿宋" w:cs="仿宋"/>
      <w:b/>
      <w:bCs/>
      <w:color w:val="000000"/>
      <w:sz w:val="36"/>
      <w:szCs w:val="36"/>
      <w:u w:val="none"/>
    </w:rPr>
  </w:style>
  <w:style w:type="character" w:customStyle="1" w:styleId="27">
    <w:name w:val="font101"/>
    <w:basedOn w:val="12"/>
    <w:qFormat/>
    <w:uiPriority w:val="0"/>
    <w:rPr>
      <w:rFonts w:ascii="Arial" w:hAnsi="Arial" w:cs="Arial"/>
      <w:b/>
      <w:bCs/>
      <w:color w:val="000000"/>
      <w:sz w:val="36"/>
      <w:szCs w:val="36"/>
      <w:u w:val="none"/>
    </w:rPr>
  </w:style>
  <w:style w:type="character" w:customStyle="1" w:styleId="28">
    <w:name w:val="font112"/>
    <w:basedOn w:val="12"/>
    <w:qFormat/>
    <w:uiPriority w:val="0"/>
    <w:rPr>
      <w:rFonts w:hint="eastAsia" w:ascii="仿宋" w:hAnsi="仿宋" w:eastAsia="仿宋" w:cs="仿宋"/>
      <w:color w:val="000000"/>
      <w:sz w:val="28"/>
      <w:szCs w:val="28"/>
      <w:u w:val="single"/>
    </w:rPr>
  </w:style>
  <w:style w:type="character" w:customStyle="1" w:styleId="29">
    <w:name w:val="font121"/>
    <w:basedOn w:val="12"/>
    <w:qFormat/>
    <w:uiPriority w:val="0"/>
    <w:rPr>
      <w:rFonts w:hint="eastAsia" w:ascii="仿宋" w:hAnsi="仿宋" w:eastAsia="仿宋" w:cs="仿宋"/>
      <w:b/>
      <w:bCs/>
      <w:color w:val="000000"/>
      <w:sz w:val="28"/>
      <w:szCs w:val="28"/>
      <w:u w:val="single"/>
    </w:rPr>
  </w:style>
  <w:style w:type="character" w:customStyle="1" w:styleId="30">
    <w:name w:val="font01"/>
    <w:basedOn w:val="12"/>
    <w:qFormat/>
    <w:uiPriority w:val="0"/>
    <w:rPr>
      <w:rFonts w:hint="eastAsia" w:ascii="仿宋" w:hAnsi="仿宋" w:eastAsia="仿宋" w:cs="仿宋"/>
      <w:color w:val="000000"/>
      <w:sz w:val="28"/>
      <w:szCs w:val="28"/>
      <w:u w:val="none"/>
    </w:rPr>
  </w:style>
  <w:style w:type="character" w:customStyle="1" w:styleId="31">
    <w:name w:val="font131"/>
    <w:basedOn w:val="12"/>
    <w:qFormat/>
    <w:uiPriority w:val="0"/>
    <w:rPr>
      <w:rFonts w:ascii="方正细等线简体" w:hAnsi="方正细等线简体" w:eastAsia="方正细等线简体" w:cs="方正细等线简体"/>
      <w:b/>
      <w:bCs/>
      <w:color w:val="000000"/>
      <w:sz w:val="24"/>
      <w:szCs w:val="24"/>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1134</Words>
  <Characters>1257</Characters>
  <Lines>45</Lines>
  <Paragraphs>12</Paragraphs>
  <TotalTime>19</TotalTime>
  <ScaleCrop>false</ScaleCrop>
  <LinksUpToDate>false</LinksUpToDate>
  <CharactersWithSpaces>1351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2019-07-14T14:44:00Z</dcterms:created>
  <dc:creator>Administrator</dc:creator>
  <cp:lastModifiedBy>蓝线圈</cp:lastModifiedBy>
  <cp:lastPrinted>2026-08-10T09:22:00Z</cp:lastPrinted>
  <dcterms:modified xsi:type="dcterms:W3CDTF">2026-08-10T02:52:21Z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Adobe Acrobat Pro 9.3.3</vt:lpwstr>
  </property>
  <property fmtid="{D5CDD505-2E9C-101B-9397-08002B2CF9AE}" pid="4" name="LastSaved">
    <vt:filetime>2019-02-21T00:00:00Z</vt:filetime>
  </property>
  <property fmtid="{D5CDD505-2E9C-101B-9397-08002B2CF9AE}" pid="5" name="KSOProductBuildVer">
    <vt:lpwstr>2052-12.1.0.28043</vt:lpwstr>
  </property>
  <property fmtid="{D5CDD505-2E9C-101B-9397-08002B2CF9AE}" pid="6" name="ICV">
    <vt:lpwstr>1BF3C50BAD2750DA013E746A75D10A85</vt:lpwstr>
  </property>
  <property fmtid="{D5CDD505-2E9C-101B-9397-08002B2CF9AE}" pid="7" name="KSOTemplateDocerSaveRecord">
    <vt:lpwstr>eyJoZGlkIjoiMjUxYWMyNjZlMjUxZGZjNzVhODg3ODhmYjBhZmUxMGUiLCJ1c2VySWQiOiI3MjI5NjA1OTYifQ==</vt:lpwstr>
  </property>
</Properties>
</file>