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黔南公路建设养护有限公司</w:t>
      </w:r>
    </w:p>
    <w:p w14:paraId="44F04EEE">
      <w:pPr>
        <w:pStyle w:val="3"/>
        <w:keepNext w:val="0"/>
        <w:keepLines w:val="0"/>
        <w:widowControl/>
        <w:suppressLineNumbers w:val="0"/>
        <w:spacing w:line="240" w:lineRule="auto"/>
        <w:ind w:left="0" w:firstLine="2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黔南州农村公路第二轮（2024～2026年）市场化养护服务（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三都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工区）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竞争性谈判公告</w:t>
      </w:r>
    </w:p>
    <w:p w14:paraId="07E8A70E">
      <w:pPr>
        <w:pStyle w:val="3"/>
        <w:keepNext w:val="0"/>
        <w:keepLines w:val="0"/>
        <w:widowControl/>
        <w:suppressLineNumbers w:val="0"/>
        <w:spacing w:line="240" w:lineRule="auto"/>
        <w:ind w:left="0"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因工程建设需要，现就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黔南公路建设养护有限公司黔南州农村公路第二轮（2024～2026年）市场化养护服务（三都工区）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劳务分包项目开展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,相关事宜公告如下：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黔南州农村公路第二轮（2024～2026年）市场化养护服务（三都工区）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三都县九阡镇、周覃镇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D884D56">
      <w:pPr>
        <w:widowControl/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）项</w:t>
      </w:r>
      <w:r>
        <w:rPr>
          <w:rFonts w:hint="eastAsia" w:ascii="仿宋" w:hAnsi="仿宋" w:eastAsia="仿宋" w:cs="仿宋"/>
          <w:kern w:val="0"/>
          <w:sz w:val="32"/>
          <w:szCs w:val="32"/>
        </w:rPr>
        <w:t>目规模：黔南公路建设养护有限公司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黔南州农村公路第二轮（2024～2026年）市场化养护服务（三都工区）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三都县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：南片区。</w:t>
      </w:r>
    </w:p>
    <w:p w14:paraId="6D0CC55B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黔南公路建设养护有限公司黔南州农村公路第二轮（2024～2026年）市场化养护服务（三都工区）标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NCYH-04</w:t>
            </w:r>
            <w:bookmarkStart w:id="0" w:name="_GoBack"/>
            <w:bookmarkEnd w:id="0"/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贵州省三都县境内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2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1664900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工期：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缺陷责任期1年。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文件、工程量清单、答疑文件所示全部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要求投标人须是在国内依法注册成立的独立法人，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3、具有履行合同所必需的设备和养护响应时间、巡查频次、应急抢险、恶劣天气保障能力：提供承诺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或黔南公路建设养护有限公司二级劳务队伍库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5、本次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不接受联合体投标。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竞争性谈判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文件的获取</w:t>
      </w:r>
    </w:p>
    <w:p w14:paraId="5527763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文件发售时间：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2026年04月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日至2026年0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日（每日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: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0至17:30）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。凡有意参加投标者，请在上述时限内联系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农村公路养护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项目经理部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，通过微信报送报名资料。报名资料需全部逐页加盖单位公章，合并为单个PDF文件，资料包含：单位授权委托书（须载明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劳务队伍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单位全称、经办人姓名、身份证信息、联系电话、电子邮箱）、单位营业执照、企业资质证书、劳务队伍入库证明材料。经项目经理部资料审核合格后，将通过微信向报名单位发放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文件及全套相关资料。</w:t>
      </w:r>
    </w:p>
    <w:p w14:paraId="02179C17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竞争性谈判报价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文件的递交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（一）递交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文件的截止时间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投标人应于当日11:30至12:00分之间现场递交投标文件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（二）逾期送达或者未送达指定地点的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人不予受理。</w:t>
      </w: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贵州省公路建设养护集团有限公司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六、联系方式</w:t>
      </w:r>
    </w:p>
    <w:p w14:paraId="706EE10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农村公路养护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项目经理部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都匀市天源花园7栋1单元一楼黔南公路建设养护有限公司农村公路养护项目经理部</w:t>
      </w:r>
    </w:p>
    <w:p w14:paraId="38632B8A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王涛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16685048071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2026年04月29日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51BFCA-243E-4B2E-89A1-7F8B042775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812C49A-D6A9-47EB-BFCB-B6780C23C7E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B4C6333-503C-4B90-8433-1C21B9D1BF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0F5AAE-DF41-45EB-86B7-91F32DDC2FCE}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49B13B8"/>
    <w:rsid w:val="084A176A"/>
    <w:rsid w:val="0A310FDA"/>
    <w:rsid w:val="0A6C6DF2"/>
    <w:rsid w:val="0AFC4857"/>
    <w:rsid w:val="0BF42718"/>
    <w:rsid w:val="0C793D5D"/>
    <w:rsid w:val="1288550F"/>
    <w:rsid w:val="13BF31B2"/>
    <w:rsid w:val="15451DDD"/>
    <w:rsid w:val="15C34AB0"/>
    <w:rsid w:val="1606156C"/>
    <w:rsid w:val="1ACE4623"/>
    <w:rsid w:val="1BC53330"/>
    <w:rsid w:val="1DD957B9"/>
    <w:rsid w:val="1E8766E0"/>
    <w:rsid w:val="1FC92EDD"/>
    <w:rsid w:val="2241085F"/>
    <w:rsid w:val="234A1475"/>
    <w:rsid w:val="252F4478"/>
    <w:rsid w:val="26C16DEA"/>
    <w:rsid w:val="298D7483"/>
    <w:rsid w:val="2B2D1D36"/>
    <w:rsid w:val="2C7C0F9A"/>
    <w:rsid w:val="2D6E72C5"/>
    <w:rsid w:val="2D8E6208"/>
    <w:rsid w:val="2EE61C2F"/>
    <w:rsid w:val="30322514"/>
    <w:rsid w:val="3054197B"/>
    <w:rsid w:val="30C72A82"/>
    <w:rsid w:val="3787270B"/>
    <w:rsid w:val="38575800"/>
    <w:rsid w:val="3C053521"/>
    <w:rsid w:val="3C4B433E"/>
    <w:rsid w:val="3D0F19B9"/>
    <w:rsid w:val="3D121CF5"/>
    <w:rsid w:val="3E48401F"/>
    <w:rsid w:val="4061546E"/>
    <w:rsid w:val="44551610"/>
    <w:rsid w:val="445967A4"/>
    <w:rsid w:val="4A080708"/>
    <w:rsid w:val="4D406E2F"/>
    <w:rsid w:val="4D7414A4"/>
    <w:rsid w:val="4E247781"/>
    <w:rsid w:val="4F9D0D50"/>
    <w:rsid w:val="4FA62E9D"/>
    <w:rsid w:val="549B0C03"/>
    <w:rsid w:val="556F51D3"/>
    <w:rsid w:val="56BD37C9"/>
    <w:rsid w:val="577C6D0D"/>
    <w:rsid w:val="59197FA0"/>
    <w:rsid w:val="5ABC637F"/>
    <w:rsid w:val="5ACC1009"/>
    <w:rsid w:val="5D7801F1"/>
    <w:rsid w:val="5EC602D9"/>
    <w:rsid w:val="5FD57205"/>
    <w:rsid w:val="60671FBD"/>
    <w:rsid w:val="61751708"/>
    <w:rsid w:val="62A85913"/>
    <w:rsid w:val="63DF4F9A"/>
    <w:rsid w:val="69F43602"/>
    <w:rsid w:val="6A3A2708"/>
    <w:rsid w:val="6D411C5B"/>
    <w:rsid w:val="6F444471"/>
    <w:rsid w:val="701D2DF1"/>
    <w:rsid w:val="714967F9"/>
    <w:rsid w:val="714C65AC"/>
    <w:rsid w:val="73102D39"/>
    <w:rsid w:val="73460460"/>
    <w:rsid w:val="736F3422"/>
    <w:rsid w:val="745A1D70"/>
    <w:rsid w:val="748551B6"/>
    <w:rsid w:val="764D4B3C"/>
    <w:rsid w:val="76DF266D"/>
    <w:rsid w:val="785C4FAE"/>
    <w:rsid w:val="78CC4E73"/>
    <w:rsid w:val="7A287E87"/>
    <w:rsid w:val="7ADB314B"/>
    <w:rsid w:val="7CB61055"/>
    <w:rsid w:val="7DC00FFB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1471</Words>
  <Characters>1590</Characters>
  <Lines>0</Lines>
  <Paragraphs>0</Paragraphs>
  <TotalTime>0</TotalTime>
  <ScaleCrop>false</ScaleCrop>
  <LinksUpToDate>false</LinksUpToDate>
  <CharactersWithSpaces>1596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刘欣</cp:lastModifiedBy>
  <dcterms:modified xsi:type="dcterms:W3CDTF">2026-04-29T00:49:37Z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D213CE1877054DB09BF2BEB4BC86F165_13</vt:lpwstr>
  </property>
  <property fmtid="{D5CDD505-2E9C-101B-9397-08002B2CF9AE}" pid="4" name="KSOTemplateDocerSaveRecord">
    <vt:lpwstr>eyJoZGlkIjoiODhmMzQ4NDEzMzZhOTUwNDg0MjlkNGZlNjkwN2VmMmQiLCJ1c2VySWQiOiIxNzY1NzcyNzI2In0=</vt:lpwstr>
  </property>
</Properties>
</file>