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BA065">
      <w:pPr>
        <w:pStyle w:val="3"/>
        <w:rPr>
          <w:rFonts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 w14:paraId="0013B367"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30" w:leftChars="0"/>
        <w:jc w:val="both"/>
        <w:textAlignment w:val="center"/>
        <w:outlineLvl w:val="0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Toc3947_WPSOffice_Level1"/>
      <w:bookmarkStart w:id="1" w:name="_Toc6153"/>
      <w:bookmarkStart w:id="2" w:name="_Toc31072"/>
      <w:bookmarkStart w:id="3" w:name="_Toc21553"/>
      <w:bookmarkStart w:id="4" w:name="_Toc17497"/>
      <w:bookmarkStart w:id="5" w:name="_Toc26457"/>
      <w:bookmarkStart w:id="6" w:name="_Toc12671"/>
      <w:bookmarkStart w:id="7" w:name="_Toc18968"/>
    </w:p>
    <w:p w14:paraId="6A4C0EC8"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30" w:leftChars="0"/>
        <w:jc w:val="both"/>
        <w:textAlignment w:val="center"/>
        <w:outlineLvl w:val="0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608DBDC2"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30" w:leftChars="0"/>
        <w:jc w:val="both"/>
        <w:textAlignment w:val="center"/>
        <w:outlineLvl w:val="0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45662D67"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30" w:leftChars="0"/>
        <w:jc w:val="both"/>
        <w:textAlignment w:val="center"/>
        <w:outlineLvl w:val="0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4E2345B5"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30" w:leftChars="0"/>
        <w:jc w:val="both"/>
        <w:textAlignment w:val="center"/>
        <w:outlineLvl w:val="0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74A36FF4"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30" w:leftChars="0"/>
        <w:jc w:val="both"/>
        <w:textAlignment w:val="center"/>
        <w:outlineLvl w:val="0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6E5B44A4"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30" w:leftChars="0"/>
        <w:jc w:val="both"/>
        <w:textAlignment w:val="center"/>
        <w:outlineLvl w:val="0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33F9F25D"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30" w:leftChars="0"/>
        <w:jc w:val="both"/>
        <w:textAlignment w:val="center"/>
        <w:outlineLvl w:val="0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75D25A45">
      <w:pPr>
        <w:pStyle w:val="4"/>
        <w:keepNext w:val="0"/>
        <w:keepLines w:val="0"/>
        <w:pageBreakBefore w:val="0"/>
        <w:widowControl w:val="0"/>
        <w:numPr>
          <w:numId w:val="0"/>
        </w:numPr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30" w:leftChars="0" w:firstLine="2650" w:firstLineChars="600"/>
        <w:jc w:val="both"/>
        <w:textAlignment w:val="center"/>
        <w:outlineLvl w:val="0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  <w:t>询比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eastAsia="zh-CN"/>
        </w:rPr>
        <w:t>采购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  <w:lang w:eastAsia="zh-CN"/>
        </w:rPr>
        <w:t>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D03540A">
      <w:pPr>
        <w:pStyle w:val="3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br w:type="page"/>
      </w:r>
    </w:p>
    <w:p w14:paraId="2CD8CAC5">
      <w:p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</w:pPr>
      <w:bookmarkStart w:id="8" w:name="_Toc8483_WPSOffice_Level1"/>
      <w:bookmarkStart w:id="9" w:name="_Toc28134_WPSOffice_Level1"/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S209线（K7+140～K20+650）路面提升工程及青山桥改善与提升工程施工劳务合作单位询比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采购公告</w:t>
      </w:r>
      <w:bookmarkEnd w:id="8"/>
      <w:bookmarkEnd w:id="9"/>
    </w:p>
    <w:p w14:paraId="7CFCC11B">
      <w:pPr>
        <w:pStyle w:val="3"/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517D902A"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none"/>
          <w:lang w:val="en-US" w:eastAsia="zh-CN" w:bidi="ar-SA"/>
        </w:rPr>
        <w:t>采购项目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kern w:val="2"/>
          <w:sz w:val="21"/>
          <w:szCs w:val="21"/>
          <w:highlight w:val="none"/>
          <w:u w:val="single"/>
          <w:lang w:val="en-US" w:eastAsia="zh-CN" w:bidi="ar-SA"/>
        </w:rPr>
        <w:t>S209线（K7+140～K20+650）路面提升工程及青山桥改善与提升工程施工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已由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贵州省公路建设养护集团有限公司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中标，且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施工承包合同已签订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，项目建设资金来自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政府投资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，出资比例为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100%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，工程劳务合作单位采购人为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贵州省公路建设养护集团有限公司贵阳分公司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，采购代理为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贵州建养公路技术咨询有限公司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。项目已具备采购条件，本次对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S209线（K7+140～K20+650）路面提升工程及青山桥改善与提升工程施工劳务合作单位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（以下简称本项目）进行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公开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</w:p>
    <w:p w14:paraId="5B168166">
      <w:pPr>
        <w:pStyle w:val="3"/>
        <w:snapToGrid w:val="0"/>
        <w:ind w:firstLine="420" w:firstLineChars="200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本项目采用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资格后审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 w14:paraId="6C0ED6DF">
      <w:pPr>
        <w:pStyle w:val="8"/>
        <w:numPr>
          <w:ilvl w:val="0"/>
          <w:numId w:val="1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10" w:name="_Toc31238"/>
      <w:bookmarkStart w:id="11" w:name="_Toc13506"/>
      <w:bookmarkStart w:id="12" w:name="_Toc6663"/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项目简介</w:t>
      </w:r>
      <w:bookmarkEnd w:id="10"/>
      <w:bookmarkEnd w:id="11"/>
      <w:bookmarkEnd w:id="12"/>
    </w:p>
    <w:p w14:paraId="7829199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</w:t>
      </w:r>
      <w:r>
        <w:rPr>
          <w:rFonts w:ascii="Times New Roman" w:hAnsi="Times New Roman"/>
          <w:b/>
          <w:bCs/>
          <w:color w:val="auto"/>
          <w:highlight w:val="none"/>
        </w:rPr>
        <w:t>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名称：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S209线（K7+140～K20+650）路面提升工程及青山桥改善与提升工程施工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val="en-US" w:eastAsia="zh-CN"/>
        </w:rPr>
        <w:t>劳务合作单位</w:t>
      </w:r>
    </w:p>
    <w:p w14:paraId="1733665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1.2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采购人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贵州省公路建设养护集团有限公司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贵阳分公司</w:t>
      </w:r>
    </w:p>
    <w:p w14:paraId="3A0F31D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1.3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采购代理</w:t>
      </w:r>
      <w:r>
        <w:rPr>
          <w:rFonts w:hint="default" w:ascii="Times New Roman" w:hAnsi="Times New Roman"/>
          <w:color w:val="auto"/>
          <w:highlight w:val="none"/>
        </w:rPr>
        <w:t>机构：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贵州建养公路技术咨询有限公司</w:t>
      </w:r>
    </w:p>
    <w:p w14:paraId="37F1888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ascii="Times New Roman" w:hAnsi="Times New Roman"/>
          <w:color w:val="auto"/>
          <w:highlight w:val="none"/>
        </w:rPr>
        <w:t>资金</w:t>
      </w:r>
      <w:r>
        <w:rPr>
          <w:rFonts w:hint="default" w:ascii="Times New Roman" w:hAnsi="Times New Roman"/>
          <w:color w:val="auto"/>
          <w:highlight w:val="none"/>
        </w:rPr>
        <w:t>落实情况：</w:t>
      </w:r>
      <w:r>
        <w:rPr>
          <w:rFonts w:ascii="Times New Roman" w:hAnsi="Times New Roman"/>
          <w:color w:val="auto"/>
          <w:highlight w:val="none"/>
          <w:u w:val="single"/>
        </w:rPr>
        <w:t>已落实</w:t>
      </w:r>
    </w:p>
    <w:p w14:paraId="769C481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2" w:firstLineChars="200"/>
        <w:textAlignment w:val="baseline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yellow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1.5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项目概况：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S209线沥青路面提升工程6.328公里，该路原路面为二级、四级公路，路基宽度8.5/6.5米，主要采用4cm高性能沥青混凝土Sup-13实施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；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青山桥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改善与提升工程主要施工内容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：（1）护栏改造，增加波形护栏端头：（2）增加排水孔；（3）台身修补；</w:t>
      </w:r>
    </w:p>
    <w:p w14:paraId="18D97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eastAsia="宋体"/>
          <w:b/>
          <w:bCs/>
          <w:highlight w:val="none"/>
        </w:rPr>
      </w:pPr>
      <w:r>
        <w:rPr>
          <w:rFonts w:hint="eastAsia" w:ascii="Times New Roman" w:hAnsi="Times New Roman" w:eastAsia="宋体"/>
          <w:b/>
          <w:bCs/>
          <w:highlight w:val="none"/>
        </w:rPr>
        <w:t xml:space="preserve">1.6 </w:t>
      </w:r>
      <w:r>
        <w:rPr>
          <w:rFonts w:hint="eastAsia" w:ascii="Times New Roman" w:hAnsi="Times New Roman" w:eastAsia="宋体"/>
          <w:b w:val="0"/>
          <w:bCs w:val="0"/>
          <w:highlight w:val="none"/>
        </w:rPr>
        <w:t>成交供应商数量及成交份额：</w:t>
      </w:r>
    </w:p>
    <w:p w14:paraId="74148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eastAsia="宋体"/>
          <w:b w:val="0"/>
          <w:bCs w:val="0"/>
          <w:highlight w:val="none"/>
        </w:rPr>
      </w:pPr>
      <w:r>
        <w:rPr>
          <w:rFonts w:hint="eastAsia" w:ascii="Times New Roman" w:hAnsi="Times New Roman" w:eastAsia="宋体"/>
          <w:b w:val="0"/>
          <w:bCs w:val="0"/>
          <w:highlight w:val="none"/>
        </w:rPr>
        <w:sym w:font="Wingdings 2" w:char="0052"/>
      </w:r>
      <w:r>
        <w:rPr>
          <w:rFonts w:hint="eastAsia" w:ascii="Times New Roman" w:hAnsi="Times New Roman" w:eastAsia="宋体"/>
          <w:b w:val="0"/>
          <w:bCs w:val="0"/>
          <w:highlight w:val="none"/>
        </w:rPr>
        <w:t>一家，100%。</w:t>
      </w:r>
    </w:p>
    <w:p w14:paraId="2A86886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</w:p>
    <w:p w14:paraId="16B7AEEB">
      <w:pPr>
        <w:pStyle w:val="2"/>
        <w:spacing w:line="240" w:lineRule="auto"/>
        <w:rPr>
          <w:rFonts w:ascii="Times New Roman" w:hAnsi="Times New Roman"/>
          <w:color w:val="auto"/>
          <w:highlight w:val="none"/>
        </w:rPr>
      </w:pPr>
      <w:bookmarkStart w:id="13" w:name="_Toc3135"/>
      <w:bookmarkStart w:id="14" w:name="_Toc26240"/>
      <w:bookmarkStart w:id="15" w:name="_Toc7764"/>
      <w:bookmarkStart w:id="16" w:name="_Toc9210"/>
      <w:bookmarkStart w:id="17" w:name="_Toc8483_WPSOffice_Level3"/>
      <w:bookmarkStart w:id="18" w:name="_Toc21047"/>
      <w:bookmarkStart w:id="19" w:name="_Toc10095"/>
      <w:bookmarkStart w:id="20" w:name="_Toc24107"/>
      <w:r>
        <w:rPr>
          <w:rFonts w:ascii="Times New Roman" w:hAnsi="Times New Roman"/>
          <w:color w:val="auto"/>
          <w:highlight w:val="none"/>
        </w:rPr>
        <w:t xml:space="preserve">2.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及相关要求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D3080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2.1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范围：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本次采购范围为工程施工劳务合作，中标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（成交）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后供应商需严格按照采购人现场管理人员要求，全面完成图纸及工程量清单范围内的全部施工劳务作业，严格遵守施工规范、安全标准及采购人的现场管理要求，确保劳务作业质量、进度及安全符合项目约定。</w:t>
      </w:r>
    </w:p>
    <w:p w14:paraId="6CEEA41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2" w:firstLineChars="20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计划工期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90日历天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。</w:t>
      </w:r>
    </w:p>
    <w:p w14:paraId="50787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 xml:space="preserve">.3 </w:t>
      </w:r>
      <w:r>
        <w:rPr>
          <w:rFonts w:hint="eastAsia" w:ascii="Times New Roman" w:hAnsi="Times New Roman"/>
          <w:b/>
          <w:bCs/>
          <w:color w:val="auto"/>
          <w:highlight w:val="none"/>
          <w:lang w:val="en-US" w:eastAsia="zh-CN"/>
        </w:rPr>
        <w:t>工程</w:t>
      </w:r>
      <w:r>
        <w:rPr>
          <w:rFonts w:hint="default" w:ascii="Times New Roman" w:hAnsi="Times New Roman"/>
          <w:b/>
          <w:bCs/>
          <w:color w:val="auto"/>
          <w:highlight w:val="none"/>
          <w:u w:val="none"/>
        </w:rPr>
        <w:t>地</w:t>
      </w:r>
      <w:r>
        <w:rPr>
          <w:rFonts w:hint="default" w:ascii="Times New Roman" w:hAnsi="Times New Roman"/>
          <w:b/>
          <w:bCs/>
          <w:color w:val="auto"/>
          <w:highlight w:val="none"/>
        </w:rPr>
        <w:t>点：</w:t>
      </w:r>
      <w:bookmarkStart w:id="21" w:name="OLE_LINK2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</w:t>
      </w:r>
      <w:bookmarkEnd w:id="21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贵阳市境内</w:t>
      </w:r>
      <w:r>
        <w:rPr>
          <w:rFonts w:ascii="Times New Roman" w:hAnsi="Times New Roman"/>
          <w:color w:val="auto"/>
          <w:highlight w:val="none"/>
        </w:rPr>
        <w:t>。</w:t>
      </w:r>
    </w:p>
    <w:p w14:paraId="37DE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</w:rPr>
        <w:t>质量要求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按总（分）包合同有关质量的约定及国家相关标准规范作业，劳务作业工作成果需满足国家现行的有关质量检验验收标准，本工作交工验收必须达到质量评定合格等级。</w:t>
      </w:r>
    </w:p>
    <w:p w14:paraId="18347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non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安全目标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不发生任何安全生产责任事故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。</w:t>
      </w:r>
    </w:p>
    <w:p w14:paraId="22E8A59F">
      <w:pPr>
        <w:spacing w:line="400" w:lineRule="exact"/>
        <w:ind w:firstLine="420" w:firstLineChars="0"/>
        <w:rPr>
          <w:rFonts w:hint="default" w:ascii="Times New Roman" w:hAnsi="Times New Roman"/>
          <w:color w:val="auto"/>
          <w:highlight w:val="none"/>
          <w:u w:val="none"/>
        </w:rPr>
      </w:pP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2.6标段划分</w:t>
      </w:r>
      <w:r>
        <w:rPr>
          <w:rFonts w:hint="eastAsia" w:ascii="Times New Roman" w:hAnsi="Times New Roman"/>
          <w:highlight w:val="none"/>
        </w:rPr>
        <w:t>：</w:t>
      </w:r>
      <w:r>
        <w:rPr>
          <w:rFonts w:hint="eastAsia" w:ascii="Times New Roman" w:hAnsi="Times New Roman"/>
          <w:highlight w:val="none"/>
          <w:u w:val="single"/>
        </w:rPr>
        <w:t>本次采购共划分为一个标段。</w:t>
      </w:r>
    </w:p>
    <w:p w14:paraId="737C1780">
      <w:pPr>
        <w:pStyle w:val="8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2" w:name="_Toc7070"/>
      <w:bookmarkStart w:id="23" w:name="_Toc77"/>
      <w:bookmarkStart w:id="24" w:name="_Toc9400"/>
      <w:bookmarkStart w:id="25" w:name="_Toc8523"/>
      <w:bookmarkStart w:id="26" w:name="_Toc17603_WPSOffice_Level3"/>
      <w:bookmarkStart w:id="27" w:name="_Toc1169"/>
      <w:bookmarkStart w:id="28" w:name="_Toc31415"/>
      <w:bookmarkStart w:id="29" w:name="_Toc1988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 xml:space="preserve">3. 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供应商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资格要求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7AD75197">
      <w:pPr>
        <w:spacing w:line="400" w:lineRule="exact"/>
        <w:ind w:firstLine="422" w:firstLineChars="200"/>
        <w:rPr>
          <w:rFonts w:ascii="Times New Roman" w:hAnsi="Times New Roman"/>
          <w:szCs w:val="22"/>
        </w:rPr>
      </w:pPr>
      <w:bookmarkStart w:id="30" w:name="_Toc10014_WPSOffice_Level3"/>
      <w:bookmarkStart w:id="31" w:name="_Toc9984"/>
      <w:bookmarkStart w:id="32" w:name="_Toc28480"/>
      <w:bookmarkStart w:id="33" w:name="_Toc3648"/>
      <w:bookmarkStart w:id="34" w:name="_Toc22751"/>
      <w:bookmarkStart w:id="35" w:name="_Toc1390"/>
      <w:bookmarkStart w:id="36" w:name="_Toc24146"/>
      <w:bookmarkStart w:id="37" w:name="_Toc8068"/>
      <w:r>
        <w:rPr>
          <w:rFonts w:hint="eastAsia" w:ascii="Times New Roman" w:hAnsi="Times New Roman"/>
          <w:b/>
          <w:bCs/>
          <w:szCs w:val="22"/>
        </w:rPr>
        <w:t>3</w:t>
      </w:r>
      <w:r>
        <w:rPr>
          <w:rFonts w:ascii="Times New Roman" w:hAnsi="Times New Roman"/>
          <w:b/>
          <w:bCs/>
          <w:szCs w:val="22"/>
        </w:rPr>
        <w:t>.1</w:t>
      </w:r>
      <w:r>
        <w:rPr>
          <w:rFonts w:hint="eastAsia" w:ascii="Times New Roman" w:hAnsi="Times New Roman"/>
          <w:b/>
          <w:bCs/>
          <w:szCs w:val="22"/>
        </w:rPr>
        <w:t xml:space="preserve"> </w:t>
      </w:r>
      <w:r>
        <w:rPr>
          <w:rFonts w:hint="eastAsia" w:ascii="Times New Roman" w:hAnsi="Times New Roman"/>
          <w:szCs w:val="22"/>
        </w:rPr>
        <w:t>供应商应依法设立且满足如下要求</w:t>
      </w:r>
      <w:r>
        <w:rPr>
          <w:rFonts w:ascii="Times New Roman" w:hAnsi="Times New Roman"/>
          <w:szCs w:val="22"/>
        </w:rPr>
        <w:t>：</w:t>
      </w:r>
    </w:p>
    <w:p w14:paraId="382ED3C2">
      <w:pPr>
        <w:spacing w:line="400" w:lineRule="exact"/>
        <w:ind w:firstLine="315" w:firstLineChars="150"/>
        <w:rPr>
          <w:rFonts w:hint="eastAsia" w:ascii="Times New Roman" w:hAnsi="Times New Roman"/>
          <w:u w:val="single"/>
        </w:rPr>
      </w:pPr>
      <w:r>
        <w:rPr>
          <w:rFonts w:ascii="Times New Roman" w:hAnsi="Times New Roman"/>
          <w:szCs w:val="22"/>
        </w:rPr>
        <w:t>（1）资质要求</w:t>
      </w:r>
      <w:r>
        <w:rPr>
          <w:rFonts w:ascii="Times New Roman" w:hAnsi="Times New Roman"/>
          <w:szCs w:val="22"/>
          <w:u w:val="single"/>
        </w:rPr>
        <w:t>：</w:t>
      </w:r>
      <w:r>
        <w:rPr>
          <w:rFonts w:hint="eastAsia" w:ascii="Times New Roman" w:hAnsi="Times New Roman"/>
          <w:u w:val="single"/>
        </w:rPr>
        <w:t>①供应商应为中华人民共和国境内具有独立法人资格，持有合法有效的企业法人营业执照（提供营业执照扫描件），有企业基本账户（提供开户许可证或基本存款帐户信息）；</w:t>
      </w:r>
    </w:p>
    <w:p w14:paraId="7009D6B2">
      <w:pPr>
        <w:spacing w:line="400" w:lineRule="exact"/>
        <w:ind w:firstLine="315" w:firstLineChars="150"/>
        <w:rPr>
          <w:rFonts w:hint="eastAsia" w:ascii="Times New Roman" w:hAnsi="Times New Roman"/>
          <w:szCs w:val="24"/>
        </w:rPr>
      </w:pPr>
      <w:r>
        <w:rPr>
          <w:rFonts w:hint="eastAsia" w:ascii="Times New Roman" w:hAnsi="Times New Roman"/>
          <w:u w:val="single"/>
        </w:rPr>
        <w:t>②具有建设行政主管部门核发的</w:t>
      </w:r>
      <w:r>
        <w:rPr>
          <w:rFonts w:hint="eastAsia" w:ascii="Times New Roman" w:hAnsi="Times New Roman"/>
          <w:u w:val="single"/>
          <w:lang w:eastAsia="zh-CN"/>
        </w:rPr>
        <w:t>《建筑业企业资质证书（备案）--施工劳务不分等级》</w:t>
      </w:r>
      <w:r>
        <w:rPr>
          <w:rFonts w:hint="eastAsia" w:ascii="Times New Roman" w:hAnsi="Times New Roman"/>
          <w:u w:val="single"/>
        </w:rPr>
        <w:t>（或取得企业工商注册所在地市（州）级及以上住房城乡建设主管部门颁发的施工劳务备案证明）及安全生产许可证（提供有效期内的证书扫描件）</w:t>
      </w:r>
      <w:r>
        <w:rPr>
          <w:rFonts w:hint="eastAsia" w:ascii="Times New Roman" w:hAnsi="Times New Roman"/>
          <w:szCs w:val="24"/>
        </w:rPr>
        <w:t>。</w:t>
      </w:r>
    </w:p>
    <w:p w14:paraId="14A35924">
      <w:pPr>
        <w:spacing w:line="400" w:lineRule="exact"/>
        <w:ind w:firstLine="315" w:firstLineChars="150"/>
        <w:rPr>
          <w:rFonts w:hint="eastAsia" w:ascii="Times New Roman" w:hAnsi="Times New Roman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③根据《贵州省公路建设养护集团有限公司工程项目劳务管理办法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2024年修订</w:t>
      </w:r>
      <w:r>
        <w:rPr>
          <w:rFonts w:hint="eastAsia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Cs w:val="22"/>
          <w:highlight w:val="none"/>
          <w:u w:val="none"/>
          <w:lang w:val="en-US" w:eastAsia="zh-CN"/>
        </w:rPr>
        <w:t>》（黔路建养发〔2024〕17号）的规定，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须为贵州省公路建设养护集团有限公司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提供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供应商为合格的集团一级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劳务队伍库内劳务单位</w:t>
      </w:r>
      <w:r>
        <w:rPr>
          <w:rFonts w:hint="eastAsia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承诺，如提供虚假承诺的将取消中标资格）</w:t>
      </w:r>
      <w:r>
        <w:rPr>
          <w:rFonts w:hint="default" w:ascii="Times New Roman" w:hAnsi="Times New Roman" w:cs="Times New Roman"/>
          <w:b/>
          <w:bCs/>
          <w:color w:val="auto"/>
          <w:szCs w:val="22"/>
          <w:highlight w:val="none"/>
          <w:u w:val="none"/>
          <w:lang w:val="en-US" w:eastAsia="zh-CN"/>
        </w:rPr>
        <w:t>。</w:t>
      </w:r>
    </w:p>
    <w:p w14:paraId="5BB59906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（2）财务</w:t>
      </w:r>
      <w:r>
        <w:rPr>
          <w:rFonts w:hint="eastAsia" w:ascii="Times New Roman" w:hAnsi="Times New Roman"/>
          <w:szCs w:val="24"/>
        </w:rPr>
        <w:t>要求：</w:t>
      </w:r>
      <w:r>
        <w:rPr>
          <w:rFonts w:hint="eastAsia" w:ascii="Times New Roman" w:hAnsi="Times New Roman"/>
          <w:sz w:val="21"/>
          <w:szCs w:val="24"/>
          <w:u w:val="single"/>
          <w:lang w:val="en-US" w:eastAsia="zh-CN"/>
        </w:rPr>
        <w:t>无</w:t>
      </w:r>
      <w:r>
        <w:rPr>
          <w:rFonts w:hint="eastAsia" w:ascii="Times New Roman" w:hAnsi="Times New Roman"/>
          <w:sz w:val="21"/>
          <w:szCs w:val="24"/>
        </w:rPr>
        <w:t>。</w:t>
      </w:r>
    </w:p>
    <w:p w14:paraId="381D070D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（3）业绩要求：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资格审查阶段不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业绩要求</w:t>
      </w:r>
      <w:r>
        <w:rPr>
          <w:rFonts w:ascii="Times New Roman" w:hAnsi="Times New Roman"/>
          <w:szCs w:val="22"/>
        </w:rPr>
        <w:t>。</w:t>
      </w:r>
    </w:p>
    <w:p w14:paraId="4A37069D">
      <w:pPr>
        <w:spacing w:line="400" w:lineRule="exact"/>
        <w:ind w:firstLine="315" w:firstLineChars="150"/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Cs w:val="22"/>
        </w:rPr>
        <w:t>（4）信誉要求：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①参加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采购活动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前3年内在经营活动中没有重大违法记录的书面声明（自行承诺）；</w:t>
      </w:r>
    </w:p>
    <w:p w14:paraId="674522CF">
      <w:pPr>
        <w:spacing w:line="400" w:lineRule="exact"/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供应商需承诺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在“信用中国”网站中未被列入严重失信主体名单、重大税收违法失信主体 （提供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承诺书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。</w:t>
      </w:r>
    </w:p>
    <w:p w14:paraId="3619F115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（5）承担本项目的主要人员要求：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项目负责人，1人，提供姓名和联系方式</w:t>
      </w:r>
      <w:r>
        <w:rPr>
          <w:rFonts w:ascii="Times New Roman" w:hAnsi="Times New Roman"/>
          <w:szCs w:val="22"/>
        </w:rPr>
        <w:t>。</w:t>
      </w:r>
    </w:p>
    <w:p w14:paraId="12DF1E94">
      <w:pPr>
        <w:spacing w:line="400" w:lineRule="exact"/>
        <w:ind w:firstLine="315" w:firstLineChars="150"/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</w:pPr>
      <w:r>
        <w:rPr>
          <w:rFonts w:ascii="Times New Roman" w:hAnsi="Times New Roman"/>
          <w:szCs w:val="22"/>
        </w:rPr>
        <w:t>（6）其他要求：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供应商</w:t>
      </w:r>
      <w:r>
        <w:rPr>
          <w:rFonts w:hint="eastAsia" w:ascii="Times New Roman" w:hAnsi="Times New Roman"/>
          <w:szCs w:val="22"/>
          <w:highlight w:val="none"/>
          <w:u w:val="single"/>
        </w:rPr>
        <w:t>具有履行合同所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必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val="en-US" w:eastAsia="zh-CN"/>
        </w:rPr>
        <w:t>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的设备和专业技术能力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（提供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val="en-US" w:eastAsia="zh-CN"/>
        </w:rPr>
        <w:t>承诺书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）。</w:t>
      </w:r>
    </w:p>
    <w:p w14:paraId="038231ED">
      <w:pPr>
        <w:spacing w:line="400" w:lineRule="exact"/>
        <w:ind w:firstLine="422" w:firstLineChars="200"/>
        <w:rPr>
          <w:rFonts w:ascii="Times New Roman" w:hAnsi="Times New Roman"/>
          <w:color w:val="auto"/>
          <w:szCs w:val="21"/>
        </w:rPr>
      </w:pPr>
      <w:r>
        <w:rPr>
          <w:rFonts w:hint="eastAsia" w:ascii="Times New Roman" w:hAnsi="Times New Roman"/>
          <w:b/>
          <w:bCs/>
          <w:color w:val="auto"/>
          <w:szCs w:val="21"/>
        </w:rPr>
        <w:t>3.2</w:t>
      </w:r>
      <w:r>
        <w:rPr>
          <w:rFonts w:ascii="Times New Roman" w:hAnsi="Times New Roman"/>
          <w:b/>
          <w:bCs/>
          <w:color w:val="auto"/>
          <w:szCs w:val="21"/>
        </w:rPr>
        <w:t xml:space="preserve"> </w:t>
      </w:r>
      <w:r>
        <w:rPr>
          <w:rFonts w:hint="eastAsia" w:ascii="Times New Roman" w:hAnsi="Times New Roman"/>
          <w:color w:val="auto"/>
          <w:szCs w:val="21"/>
        </w:rPr>
        <w:t>供应商不得存在下列情形之一</w:t>
      </w:r>
      <w:r>
        <w:rPr>
          <w:rFonts w:hint="eastAsia" w:ascii="Times New Roman" w:hAnsi="Times New Roman"/>
          <w:color w:val="auto"/>
          <w:szCs w:val="21"/>
          <w:lang w:eastAsia="zh-CN"/>
        </w:rPr>
        <w:t>（</w:t>
      </w:r>
      <w:r>
        <w:rPr>
          <w:rFonts w:hint="eastAsia" w:ascii="Times New Roman" w:hAnsi="Times New Roman"/>
          <w:color w:val="auto"/>
          <w:szCs w:val="21"/>
          <w:lang w:val="en-US" w:eastAsia="zh-CN"/>
        </w:rPr>
        <w:t>提供承诺书</w:t>
      </w:r>
      <w:r>
        <w:rPr>
          <w:rFonts w:hint="eastAsia" w:ascii="Times New Roman" w:hAnsi="Times New Roman"/>
          <w:color w:val="auto"/>
          <w:szCs w:val="21"/>
          <w:lang w:eastAsia="zh-CN"/>
        </w:rPr>
        <w:t>）</w:t>
      </w:r>
      <w:r>
        <w:rPr>
          <w:rFonts w:hint="eastAsia" w:ascii="Times New Roman" w:hAnsi="Times New Roman"/>
          <w:color w:val="auto"/>
          <w:szCs w:val="21"/>
        </w:rPr>
        <w:t>：</w:t>
      </w:r>
    </w:p>
    <w:p w14:paraId="66693668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）处于被责令停产停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业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暂扣或者吊销执照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暂扣或者吊销许可证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、吊销资质证书状态（自行承诺）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7A912C51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2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）进入清算程序，或被宣告破产，或其他丧失履约能力的情形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5938A689">
      <w:pPr>
        <w:spacing w:line="400" w:lineRule="exact"/>
        <w:ind w:firstLine="420" w:firstLineChars="200"/>
        <w:rPr>
          <w:rFonts w:hint="default"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3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其他：①与采购人存在利害关系可能影响采购公正性的法人、其他组织或者个人，不得参加本项目采购（自行承诺）；</w:t>
      </w:r>
    </w:p>
    <w:p w14:paraId="2B1ABA6F">
      <w:pPr>
        <w:spacing w:line="400" w:lineRule="exact"/>
        <w:ind w:firstLine="420" w:firstLineChars="200"/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②供应商单位负责人为同一人或者存在控股、管理关系的不同单位，不得同时参加同一个项目采购（自行承诺）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；</w:t>
      </w:r>
    </w:p>
    <w:p w14:paraId="45E88A76">
      <w:pPr>
        <w:spacing w:line="400" w:lineRule="exact"/>
        <w:ind w:firstLine="420" w:firstLineChars="200"/>
        <w:rPr>
          <w:rFonts w:hint="eastAsia" w:ascii="Times New Roman" w:hAnsi="Times New Roman" w:eastAsia="宋体"/>
          <w:szCs w:val="22"/>
          <w:lang w:eastAsia="zh-CN"/>
        </w:rPr>
      </w:pP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③供应商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的法定代表人、拟投入本项目的项目负责人近3年（指202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月1日起）发生任何行贿犯罪行为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的，不得参加本项目采购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hint="eastAsia" w:ascii="Times New Roman" w:hAnsi="Times New Roman"/>
          <w:szCs w:val="21"/>
          <w:u w:val="single"/>
          <w:lang w:eastAsia="zh-CN"/>
        </w:rPr>
        <w:t>。</w:t>
      </w:r>
    </w:p>
    <w:p w14:paraId="5704F3A0">
      <w:pPr>
        <w:spacing w:line="400" w:lineRule="exact"/>
        <w:ind w:firstLine="422" w:firstLineChars="20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3.3</w:t>
      </w:r>
      <w:r>
        <w:rPr>
          <w:rFonts w:hint="eastAsia" w:ascii="Times New Roman" w:hAnsi="Times New Roman"/>
          <w:szCs w:val="22"/>
        </w:rPr>
        <w:t xml:space="preserve"> 本次采购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不接受</w:t>
      </w:r>
      <w:r>
        <w:rPr>
          <w:rFonts w:hint="eastAsia" w:ascii="Times New Roman" w:hAnsi="Times New Roman"/>
          <w:szCs w:val="22"/>
        </w:rPr>
        <w:t>联合体。</w:t>
      </w:r>
    </w:p>
    <w:p w14:paraId="7BCEE9DA">
      <w:pPr>
        <w:pStyle w:val="8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文件的获取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7411D6D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</w:pPr>
      <w:bookmarkStart w:id="38" w:name="_Toc14717"/>
      <w:bookmarkStart w:id="39" w:name="_Toc10035"/>
      <w:bookmarkStart w:id="40" w:name="_Toc23613"/>
      <w:bookmarkStart w:id="41" w:name="_Toc18186_WPSOffice_Level3"/>
      <w:bookmarkStart w:id="42" w:name="_Toc21913"/>
      <w:bookmarkStart w:id="43" w:name="_Toc24628"/>
      <w:bookmarkStart w:id="44" w:name="_Toc31973"/>
      <w:bookmarkStart w:id="45" w:name="_Toc9020"/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凡有意参加本次采购活动的，请于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04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每日上午9:00至12:00时，下午13:30至17:00时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（北京时间）至202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每日上午9:00至12:00时，下午13:30至17:00时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（北京时间）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在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花溪大道中段12号贵州建养公路技术咨询有限公司招标服务中心201办公室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盖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单位公章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的营业执照、授权委托书或法人身份证明(授权委托书或法人身份证明应载有单位信息，经办人员的姓名、身份证、电话、邮箱等信息)及经办人身份证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原件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领取采购文件。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采购代理工作人员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审核资料合格后，现场发放采购文件。</w:t>
      </w:r>
      <w:bookmarkStart w:id="46" w:name="_Toc16224"/>
    </w:p>
    <w:p w14:paraId="480C8572">
      <w:pPr>
        <w:pStyle w:val="8"/>
        <w:numPr>
          <w:ilvl w:val="255"/>
          <w:numId w:val="0"/>
        </w:numPr>
        <w:spacing w:before="260" w:after="26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的递交</w:t>
      </w:r>
      <w:bookmarkEnd w:id="46"/>
    </w:p>
    <w:p w14:paraId="1FBAC2B3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5.1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响应文件递交的截止时间（投标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截止时间，下同）为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8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日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 时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0分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供应商应提前半小时递交响应文件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，响应文件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纸质文件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递交地址：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贵州省贵阳市花溪大道中段12号贵州建养公路技术咨询有限公司招标服务中心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开标室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。</w:t>
      </w:r>
    </w:p>
    <w:p w14:paraId="55442B71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5.2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逾期递交的或者未按照采购文件要求递交的响应文件，将予以拒收。</w:t>
      </w:r>
    </w:p>
    <w:p w14:paraId="6BB1F53E">
      <w:pPr>
        <w:pStyle w:val="8"/>
        <w:numPr>
          <w:ilvl w:val="255"/>
          <w:numId w:val="0"/>
        </w:numPr>
        <w:spacing w:before="260" w:after="260" w:line="240" w:lineRule="auto"/>
        <w:ind w:firstLine="0" w:firstLineChars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开启时间和地点</w:t>
      </w:r>
      <w:bookmarkEnd w:id="38"/>
    </w:p>
    <w:p w14:paraId="25782625">
      <w:pPr>
        <w:pStyle w:val="8"/>
        <w:numPr>
          <w:ilvl w:val="0"/>
          <w:numId w:val="0"/>
        </w:numPr>
        <w:spacing w:before="260" w:after="260"/>
        <w:ind w:left="0" w:firstLine="440" w:firstLineChars="20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同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响应文件递交时间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和地点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  <w:bookmarkEnd w:id="39"/>
      <w:bookmarkEnd w:id="40"/>
      <w:bookmarkEnd w:id="41"/>
      <w:bookmarkEnd w:id="42"/>
      <w:bookmarkEnd w:id="43"/>
      <w:bookmarkEnd w:id="44"/>
      <w:bookmarkEnd w:id="45"/>
      <w:bookmarkStart w:id="47" w:name="_Toc24262"/>
      <w:bookmarkStart w:id="48" w:name="_Toc28869_WPSOffice_Level3"/>
      <w:bookmarkStart w:id="49" w:name="_Toc2943"/>
      <w:bookmarkStart w:id="50" w:name="_Toc26618"/>
      <w:bookmarkStart w:id="51" w:name="_Toc27050"/>
      <w:bookmarkStart w:id="52" w:name="_Toc23168"/>
      <w:bookmarkStart w:id="53" w:name="_Toc11882"/>
      <w:bookmarkStart w:id="54" w:name="_Toc31656"/>
    </w:p>
    <w:p w14:paraId="3895DAF0">
      <w:pPr>
        <w:pStyle w:val="8"/>
        <w:numPr>
          <w:ilvl w:val="0"/>
          <w:numId w:val="0"/>
        </w:numPr>
        <w:spacing w:before="260" w:after="260"/>
        <w:ind w:left="0" w:firstLine="0"/>
        <w:outlineLvl w:val="1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7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发布公告的媒介</w:t>
      </w:r>
      <w:bookmarkEnd w:id="47"/>
    </w:p>
    <w:p w14:paraId="5F6166FB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本</w:t>
      </w:r>
      <w:r>
        <w:rPr>
          <w:rFonts w:hint="eastAsia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公告在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szCs w:val="21"/>
          <w:highlight w:val="none"/>
          <w:u w:val="single"/>
        </w:rPr>
        <w:t>贵州省公路建设养护集团有限公司门户网站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（发布公告的媒介名称）</w:t>
      </w:r>
      <w:r>
        <w:rPr>
          <w:rFonts w:hint="default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网站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上发布。</w:t>
      </w:r>
    </w:p>
    <w:p w14:paraId="74E0085D">
      <w:pPr>
        <w:pStyle w:val="8"/>
        <w:numPr>
          <w:ilvl w:val="0"/>
          <w:numId w:val="0"/>
        </w:numPr>
        <w:spacing w:before="0" w:after="0" w:line="360" w:lineRule="auto"/>
        <w:outlineLvl w:val="9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8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其他</w:t>
      </w:r>
    </w:p>
    <w:p w14:paraId="6B050D5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8.1本项目采用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经评审的综合评分法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进行评审。</w:t>
      </w:r>
    </w:p>
    <w:p w14:paraId="7EEE83A3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z w:val="21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8.2本项目采用线下纸质标方式进行招采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，供应商应在规定时间和地点递交纸质响应文件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。</w:t>
      </w:r>
    </w:p>
    <w:bookmarkEnd w:id="48"/>
    <w:bookmarkEnd w:id="49"/>
    <w:bookmarkEnd w:id="50"/>
    <w:bookmarkEnd w:id="51"/>
    <w:bookmarkEnd w:id="52"/>
    <w:bookmarkEnd w:id="53"/>
    <w:bookmarkEnd w:id="54"/>
    <w:p w14:paraId="4456AB0C">
      <w:p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br w:type="page"/>
      </w:r>
    </w:p>
    <w:p w14:paraId="6A92F245">
      <w:pPr>
        <w:pStyle w:val="8"/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、</w:t>
      </w:r>
      <w:bookmarkStart w:id="55" w:name="_Toc27283"/>
      <w:bookmarkStart w:id="56" w:name="_Toc2503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联系方式</w:t>
      </w:r>
      <w:bookmarkEnd w:id="55"/>
      <w:bookmarkEnd w:id="56"/>
    </w:p>
    <w:p w14:paraId="29ECF757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采购人：贵州省公路建设养护集团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u w:val="none"/>
          <w:lang w:eastAsia="zh-CN"/>
        </w:rPr>
        <w:t>有限公司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贵阳分公司</w:t>
      </w:r>
    </w:p>
    <w:p w14:paraId="51850F6D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联系地址：贵州省贵阳市白云区金融西路169号</w:t>
      </w:r>
    </w:p>
    <w:p w14:paraId="31CCB05C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项目联系人：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谭工</w:t>
      </w:r>
    </w:p>
    <w:p w14:paraId="5CA6CB41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联系电话：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15180882546</w:t>
      </w:r>
    </w:p>
    <w:p w14:paraId="79878E5F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</w:p>
    <w:p w14:paraId="53772763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采购代理</w:t>
      </w: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贵州建养公路技术咨询有限公司</w:t>
      </w:r>
    </w:p>
    <w:p w14:paraId="26EADE2C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地    址：贵州省贵阳市南明区花溪大道中段皂角井</w:t>
      </w:r>
    </w:p>
    <w:p w14:paraId="75776BDA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联 系 人：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陈豪、王龙</w:t>
      </w:r>
    </w:p>
    <w:p w14:paraId="3B3D75F1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电    话：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15348654613、13628504857</w:t>
      </w:r>
    </w:p>
    <w:p w14:paraId="6D3F5C30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3B89B3F4">
      <w:pPr>
        <w:jc w:val="right"/>
      </w:pP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20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bookmarkStart w:id="57" w:name="_GoBack"/>
      <w:bookmarkEnd w:id="57"/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日</w:t>
      </w:r>
    </w:p>
    <w:sectPr>
      <w:pgSz w:w="11900" w:h="16830"/>
      <w:pgMar w:top="2098" w:right="1531" w:bottom="1984" w:left="1531" w:header="0" w:footer="1151" w:gutter="0"/>
      <w:pgNumType w:fmt="decimal"/>
      <w:cols w:space="0" w:num="1"/>
      <w:rtlGutter w:val="0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2D36B"/>
    <w:multiLevelType w:val="singleLevel"/>
    <w:tmpl w:val="BC02D3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315BB"/>
    <w:rsid w:val="23347C42"/>
    <w:rsid w:val="3CE3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8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2026-06-03T11:47:00Z</dcterms:created>
  <dc:creator>Co</dc:creator>
  <cp:lastModifiedBy>Co</cp:lastModifiedBy>
  <dcterms:modified xsi:type="dcterms:W3CDTF">2026-06-03T11:47:27Z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DCF54A4EF1104841A489DBA2B707718C_11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