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F85FD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</w:pPr>
      <w:bookmarkStart w:id="0" w:name="_Toc16132"/>
      <w:bookmarkStart w:id="1" w:name="_Toc20523"/>
      <w:bookmarkStart w:id="2" w:name="_Toc6479"/>
      <w:bookmarkStart w:id="3" w:name="_Toc15377"/>
      <w:bookmarkStart w:id="4" w:name="_Toc6101"/>
      <w:bookmarkStart w:id="5" w:name="_Toc4239"/>
      <w:bookmarkStart w:id="6" w:name="_Toc25312"/>
      <w:bookmarkStart w:id="7" w:name="_Toc29599"/>
      <w:bookmarkStart w:id="8" w:name="_Toc16010"/>
      <w:bookmarkStart w:id="9" w:name="_Toc4431"/>
      <w:bookmarkStart w:id="10" w:name="_Toc9806"/>
      <w:bookmarkStart w:id="11" w:name="_Toc25770"/>
      <w:bookmarkStart w:id="12" w:name="_Toc17714"/>
      <w:bookmarkStart w:id="13" w:name="_Toc6129"/>
      <w:bookmarkStart w:id="14" w:name="_Toc6582"/>
      <w:bookmarkStart w:id="15" w:name="_Toc14420"/>
      <w:bookmarkStart w:id="16" w:name="_Toc29590"/>
      <w:bookmarkStart w:id="17" w:name="_Toc943"/>
      <w:bookmarkStart w:id="18" w:name="_Toc18275"/>
      <w:bookmarkStart w:id="19" w:name="_Toc27609"/>
      <w:bookmarkStart w:id="20" w:name="_Toc8166"/>
      <w:bookmarkStart w:id="21" w:name="_Toc19773"/>
      <w:bookmarkStart w:id="22" w:name="_Toc27740"/>
      <w:bookmarkStart w:id="23" w:name="_Toc4945"/>
      <w:bookmarkStart w:id="24" w:name="_Toc15267"/>
      <w:bookmarkStart w:id="25" w:name="_Toc7971"/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综合业务用房</w:t>
      </w:r>
    </w:p>
    <w:p w14:paraId="2A2F2F1F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地板供应</w:t>
      </w:r>
      <w:bookmarkStart w:id="26" w:name="OLE_LINK1"/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及安装公</w:t>
      </w:r>
      <w:bookmarkEnd w:id="26"/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开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询价函</w:t>
      </w:r>
    </w:p>
    <w:p w14:paraId="6839C06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各意向供应商   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480314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贵州省公路建设养护集团有限公司综合业务用房建设项目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/>
        </w:rPr>
        <w:t>地板供应及安装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需要采购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现邀请有意向单位参加竞价。主要采购内容及要求如下：</w:t>
      </w:r>
    </w:p>
    <w:tbl>
      <w:tblPr>
        <w:tblStyle w:val="5"/>
        <w:tblW w:w="93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125"/>
        <w:gridCol w:w="3134"/>
        <w:gridCol w:w="720"/>
        <w:gridCol w:w="855"/>
        <w:gridCol w:w="1166"/>
        <w:gridCol w:w="1791"/>
      </w:tblGrid>
      <w:tr w14:paraId="7B51A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4" w:type="dxa"/>
            <w:vAlign w:val="center"/>
          </w:tcPr>
          <w:p w14:paraId="47962C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bookmarkStart w:id="27" w:name="OLE_LINK4" w:colFirst="0" w:colLast="7"/>
            <w:bookmarkStart w:id="28" w:name="OLE_LINK29"/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序号</w:t>
            </w:r>
          </w:p>
        </w:tc>
        <w:tc>
          <w:tcPr>
            <w:tcW w:w="1125" w:type="dxa"/>
            <w:vAlign w:val="center"/>
          </w:tcPr>
          <w:p w14:paraId="3CE820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产品名称</w:t>
            </w:r>
          </w:p>
        </w:tc>
        <w:tc>
          <w:tcPr>
            <w:tcW w:w="3134" w:type="dxa"/>
            <w:vAlign w:val="center"/>
          </w:tcPr>
          <w:p w14:paraId="7B393D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规格</w:t>
            </w:r>
          </w:p>
        </w:tc>
        <w:tc>
          <w:tcPr>
            <w:tcW w:w="720" w:type="dxa"/>
            <w:vAlign w:val="center"/>
          </w:tcPr>
          <w:p w14:paraId="19521D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单</w:t>
            </w: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855" w:type="dxa"/>
            <w:vAlign w:val="center"/>
          </w:tcPr>
          <w:p w14:paraId="3B8883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预估数量</w:t>
            </w:r>
          </w:p>
        </w:tc>
        <w:tc>
          <w:tcPr>
            <w:tcW w:w="1166" w:type="dxa"/>
            <w:vAlign w:val="center"/>
          </w:tcPr>
          <w:p w14:paraId="39AF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限价（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单价，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元）</w:t>
            </w:r>
          </w:p>
        </w:tc>
        <w:tc>
          <w:tcPr>
            <w:tcW w:w="1791" w:type="dxa"/>
            <w:vAlign w:val="center"/>
          </w:tcPr>
          <w:p w14:paraId="46038A0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  <w:t>备注</w:t>
            </w:r>
          </w:p>
        </w:tc>
      </w:tr>
      <w:tr w14:paraId="70A3F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 w14:paraId="5C3894EA">
            <w:pPr>
              <w:pStyle w:val="11"/>
              <w:spacing w:before="160" w:line="480" w:lineRule="exact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bookmarkStart w:id="29" w:name="OLE_LINK6" w:colFirst="1" w:colLast="4"/>
            <w:bookmarkStart w:id="30" w:name="OLE_LINK7" w:colFirst="3" w:colLast="5"/>
            <w:bookmarkStart w:id="31" w:name="OLE_LINK3" w:colFirst="2" w:colLast="7"/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0734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  <w:t>复合强化木地板</w:t>
            </w:r>
          </w:p>
        </w:tc>
        <w:tc>
          <w:tcPr>
            <w:tcW w:w="3134" w:type="dxa"/>
            <w:vAlign w:val="center"/>
          </w:tcPr>
          <w:p w14:paraId="45DA3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  <w:t>厚度：10-12mm；</w:t>
            </w:r>
          </w:p>
          <w:p w14:paraId="0D037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  <w:t>甲醛释放量：E0级或更高标准；</w:t>
            </w:r>
          </w:p>
          <w:p w14:paraId="44EE8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  <w:t>表面耐磨：家用I级或更高标准（大于等于6000转）；</w:t>
            </w:r>
          </w:p>
        </w:tc>
        <w:tc>
          <w:tcPr>
            <w:tcW w:w="720" w:type="dxa"/>
            <w:vAlign w:val="center"/>
          </w:tcPr>
          <w:p w14:paraId="454F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bookmarkStart w:id="32" w:name="OLE_LINK14"/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  <w:t>㎡</w:t>
            </w:r>
            <w:bookmarkEnd w:id="32"/>
          </w:p>
        </w:tc>
        <w:tc>
          <w:tcPr>
            <w:tcW w:w="855" w:type="dxa"/>
            <w:vAlign w:val="center"/>
          </w:tcPr>
          <w:p w14:paraId="712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4700</w:t>
            </w:r>
          </w:p>
        </w:tc>
        <w:tc>
          <w:tcPr>
            <w:tcW w:w="1166" w:type="dxa"/>
            <w:vAlign w:val="center"/>
          </w:tcPr>
          <w:p w14:paraId="0949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91" w:type="dxa"/>
            <w:vAlign w:val="center"/>
          </w:tcPr>
          <w:p w14:paraId="3FB8A1BC">
            <w:pPr>
              <w:pStyle w:val="11"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含地脚线、金属收边条、压边条等所有辅材；含安装人工、含安装损耗。</w:t>
            </w:r>
          </w:p>
        </w:tc>
      </w:tr>
      <w:bookmarkEnd w:id="27"/>
      <w:bookmarkEnd w:id="29"/>
      <w:bookmarkEnd w:id="30"/>
      <w:bookmarkEnd w:id="31"/>
      <w:tr w14:paraId="546AA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388" w:type="dxa"/>
            <w:gridSpan w:val="5"/>
            <w:vAlign w:val="center"/>
          </w:tcPr>
          <w:p w14:paraId="6D84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66" w:type="dxa"/>
            <w:vAlign w:val="center"/>
          </w:tcPr>
          <w:p w14:paraId="2F89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</w:tcPr>
          <w:p w14:paraId="2BD77543">
            <w:pPr>
              <w:pStyle w:val="11"/>
              <w:spacing w:line="480" w:lineRule="exact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</w:p>
        </w:tc>
      </w:tr>
      <w:bookmarkEnd w:id="28"/>
    </w:tbl>
    <w:p w14:paraId="13596A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bookmarkStart w:id="33" w:name="OLE_LINK11"/>
      <w:bookmarkStart w:id="34" w:name="OLE_LINK26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注：1.品牌范围为大自然、德尔、圣象、欧派、菲林格尔、必美等品牌（含同一集团企业旗下其他子品牌）；符合国家强制性标准、制造商企业标准及其他相关标准。</w:t>
      </w:r>
    </w:p>
    <w:p w14:paraId="6AF11B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 xml:space="preserve">    2.供货时间计划为10月上旬，安装完成计划时间为10月中旬。</w:t>
      </w:r>
    </w:p>
    <w:p w14:paraId="606A277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3.产品制造商</w:t>
      </w:r>
      <w:bookmarkStart w:id="35" w:name="OLE_LINK17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为相关品牌原厂制造商</w:t>
      </w:r>
      <w:bookmarkEnd w:id="35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，不得使用委托生产（即贴牌）产品；</w:t>
      </w:r>
    </w:p>
    <w:p w14:paraId="3565355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4.同一品牌</w:t>
      </w:r>
      <w:bookmarkStart w:id="36" w:name="OLE_LINK18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仅限1家供应商进行报价</w:t>
      </w:r>
      <w:bookmarkEnd w:id="36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。若同一品牌出现两个及以</w:t>
      </w:r>
      <w:bookmarkStart w:id="37" w:name="OLE_LINK24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上供应商报价</w:t>
      </w:r>
      <w:bookmarkEnd w:id="37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，则按以下原则认定</w:t>
      </w:r>
      <w:bookmarkEnd w:id="33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：仅有1家可提供品牌商授权书的</w:t>
      </w:r>
      <w:bookmarkStart w:id="38" w:name="OLE_LINK15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，</w:t>
      </w:r>
      <w:bookmarkEnd w:id="38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该供应商报价视为有效报价；若两个及以上供应商出具了授权书的，</w:t>
      </w:r>
      <w:bookmarkStart w:id="39" w:name="OLE_LINK25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该品牌报价视为无效报价</w:t>
      </w:r>
      <w:bookmarkEnd w:id="39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；若均无授权书的，该品牌报价视为无效报价。</w:t>
      </w:r>
    </w:p>
    <w:p w14:paraId="30C731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6.报价为含税价（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增值税</w:t>
      </w:r>
      <w:bookmarkStart w:id="40" w:name="OLE_LINK13"/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专用发票</w:t>
      </w:r>
      <w:bookmarkEnd w:id="40"/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，税率13%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），含运输、搬运、辅材、安装人工费等综合价格。询价人提供施工电梯、临时用电（至楼层），安装垃圾需清理至1层指定位置。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供应商开具的增值税发票的票面税额不足13个点的，由采购人在结算进行扣回。（例如，中标人的中标单价为100</w:t>
      </w:r>
      <w:bookmarkStart w:id="41" w:name="OLE_LINK20"/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元/</w:t>
      </w:r>
      <w:r>
        <w:rPr>
          <w:rFonts w:hint="eastAsia" w:ascii="宋体" w:hAnsi="宋体" w:eastAsia="宋体" w:cs="宋体"/>
          <w:b/>
          <w:bCs/>
          <w:w w:val="95"/>
          <w:sz w:val="18"/>
          <w:szCs w:val="18"/>
          <w:lang w:eastAsia="zh-CN"/>
        </w:rPr>
        <w:t>㎡</w:t>
      </w:r>
      <w:bookmarkEnd w:id="41"/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/>
        </w:rPr>
        <w:t>，但是中标人只能提供3%的专票，则结算执行单价=100</w:t>
      </w:r>
      <w:bookmarkStart w:id="42" w:name="OLE_LINK16"/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/>
        </w:rPr>
        <w:t>/</w:t>
      </w:r>
      <w:bookmarkEnd w:id="42"/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/>
        </w:rPr>
        <w:t>1.13*1.03=91.15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元/</w:t>
      </w:r>
      <w:r>
        <w:rPr>
          <w:rFonts w:hint="eastAsia" w:ascii="宋体" w:hAnsi="宋体" w:eastAsia="宋体" w:cs="宋体"/>
          <w:b/>
          <w:bCs/>
          <w:w w:val="95"/>
          <w:sz w:val="18"/>
          <w:szCs w:val="18"/>
          <w:lang w:eastAsia="zh-CN"/>
        </w:rPr>
        <w:t>㎡</w:t>
      </w:r>
    </w:p>
    <w:p w14:paraId="7FE231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7.报价截止时间：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2024年9月14日10:00前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。</w:t>
      </w:r>
    </w:p>
    <w:p w14:paraId="2148CE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8.单项报价不得超过限价。</w:t>
      </w:r>
    </w:p>
    <w:p w14:paraId="2F7C34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9.报价最低的2个供应商作为候选供应商。候选供应商需提供3-5种产品样品，结合相关产品选型选款等由询价人自主在候选供应商内确定成交 对象。</w:t>
      </w:r>
    </w:p>
    <w:p w14:paraId="260424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10.报价人应具有独立法人资格，不得为失信被执行人或有失信被执行记录。</w:t>
      </w:r>
    </w:p>
    <w:p w14:paraId="6B9FD4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11.项目现场位于贵阳市白云区金融西路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贵州省公路建设养护集团有限公司综合业务用房建设项目，询价人不组织踏勘，意向供应商可自行前往踏勘。</w:t>
      </w:r>
    </w:p>
    <w:p w14:paraId="345B18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12.付款方式：合同签订后3天内支付不高于30%预付款，材料到场验收并开具发票后3天内支付至80%货款（含预付款部分），安装完成验收并开具发票后3天内支付至100%货款。</w:t>
      </w:r>
    </w:p>
    <w:p w14:paraId="06B49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13.计量结算方式为安装完成后按实际铺贴面积计量，安装损耗不另计，安装图纸可联系询价人获取。</w:t>
      </w:r>
    </w:p>
    <w:p w14:paraId="052149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请意向供应商在报价截止时间前针对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 w:bidi="ar-SA"/>
        </w:rPr>
        <w:t>本次询价内容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通过邮件告知我方报价，报价文件接收邮箱：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18798035629@163.com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。</w:t>
      </w:r>
    </w:p>
    <w:p w14:paraId="3A720E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报价资料应包括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：</w:t>
      </w:r>
    </w:p>
    <w:p w14:paraId="0409DB2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1、已报价盖章的报价函（扫描件）；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ab/>
      </w:r>
    </w:p>
    <w:p w14:paraId="0B07757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2、</w:t>
      </w:r>
      <w:bookmarkStart w:id="43" w:name="OLE_LINK27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已盖章的营业执照</w:t>
      </w:r>
      <w:bookmarkStart w:id="44" w:name="OLE_LINK19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（扫描件）</w:t>
      </w:r>
      <w:bookmarkEnd w:id="43"/>
      <w:bookmarkEnd w:id="44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；</w:t>
      </w:r>
    </w:p>
    <w:p w14:paraId="1D6E51F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3、相关品牌授权书（扫描件）；</w:t>
      </w:r>
    </w:p>
    <w:p w14:paraId="677E46C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4、报价产品样册（电子文件）；</w:t>
      </w:r>
    </w:p>
    <w:p w14:paraId="4960A0E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5、报价产品检测报告（扫描件）。</w:t>
      </w:r>
    </w:p>
    <w:p w14:paraId="3135320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134F5A8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  <w:t>贵州省公路建设养护集团有限公司</w:t>
      </w:r>
    </w:p>
    <w:p w14:paraId="46E6BFE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  综合业务用房施工项目经理部</w:t>
      </w:r>
    </w:p>
    <w:p w14:paraId="36D8F44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2024年9月11日</w:t>
      </w:r>
    </w:p>
    <w:p w14:paraId="6E05CFE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（联系人：赵工；电话：18798882526）</w:t>
      </w:r>
    </w:p>
    <w:bookmarkEnd w:id="34"/>
    <w:p w14:paraId="1DFCC399">
      <w:pPr>
        <w:jc w:val="center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报价函</w:t>
      </w:r>
    </w:p>
    <w:p w14:paraId="572ECB0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致： 贵州省公路建设养护集团有限公司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综合业务用房施工项目经理部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   </w:t>
      </w:r>
    </w:p>
    <w:p w14:paraId="1E5C5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600" w:firstLineChars="200"/>
        <w:contextualSpacing/>
        <w:jc w:val="left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我方已认真研究询价函后，自愿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  <w:t>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/>
        </w:rPr>
        <w:t>地板供应及安装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项目进行报价，具体如下。</w:t>
      </w:r>
    </w:p>
    <w:p w14:paraId="1DAB7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600" w:firstLineChars="200"/>
        <w:contextualSpacing/>
        <w:jc w:val="left"/>
        <w:rPr>
          <w:rFonts w:hint="default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报价品牌： 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              </w:t>
      </w:r>
    </w:p>
    <w:tbl>
      <w:tblPr>
        <w:tblStyle w:val="5"/>
        <w:tblW w:w="99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500"/>
        <w:gridCol w:w="1068"/>
        <w:gridCol w:w="1110"/>
        <w:gridCol w:w="590"/>
        <w:gridCol w:w="930"/>
        <w:gridCol w:w="1146"/>
        <w:gridCol w:w="1513"/>
        <w:gridCol w:w="1513"/>
      </w:tblGrid>
      <w:tr w14:paraId="6EF62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70" w:type="dxa"/>
            <w:vAlign w:val="center"/>
          </w:tcPr>
          <w:p w14:paraId="18DD8F9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bookmarkStart w:id="45" w:name="OLE_LINK9" w:colFirst="8" w:colLast="9"/>
            <w:bookmarkStart w:id="46" w:name="OLE_LINK2" w:colFirst="7" w:colLast="7"/>
            <w:bookmarkStart w:id="47" w:name="OLE_LINK5" w:colFirst="7" w:colLast="8"/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序号</w:t>
            </w:r>
          </w:p>
        </w:tc>
        <w:tc>
          <w:tcPr>
            <w:tcW w:w="1500" w:type="dxa"/>
            <w:vAlign w:val="center"/>
          </w:tcPr>
          <w:p w14:paraId="061CD8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产品名称</w:t>
            </w:r>
          </w:p>
        </w:tc>
        <w:tc>
          <w:tcPr>
            <w:tcW w:w="1068" w:type="dxa"/>
            <w:vAlign w:val="center"/>
          </w:tcPr>
          <w:p w14:paraId="4AA8A1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厚度</w:t>
            </w:r>
          </w:p>
        </w:tc>
        <w:tc>
          <w:tcPr>
            <w:tcW w:w="1110" w:type="dxa"/>
            <w:vAlign w:val="center"/>
          </w:tcPr>
          <w:p w14:paraId="489F82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590" w:type="dxa"/>
            <w:vAlign w:val="center"/>
          </w:tcPr>
          <w:p w14:paraId="49CA3D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单</w:t>
            </w: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930" w:type="dxa"/>
            <w:vAlign w:val="center"/>
          </w:tcPr>
          <w:p w14:paraId="36974A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146" w:type="dxa"/>
            <w:vAlign w:val="center"/>
          </w:tcPr>
          <w:p w14:paraId="682D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含税单价（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  <w:p w14:paraId="0D22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 w14:paraId="608A14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含税总价（元）</w:t>
            </w:r>
          </w:p>
        </w:tc>
        <w:tc>
          <w:tcPr>
            <w:tcW w:w="1513" w:type="dxa"/>
            <w:vAlign w:val="center"/>
          </w:tcPr>
          <w:p w14:paraId="3C79FE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备注</w:t>
            </w:r>
          </w:p>
        </w:tc>
      </w:tr>
      <w:bookmarkEnd w:id="45"/>
      <w:tr w14:paraId="1BD74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0" w:type="dxa"/>
            <w:vAlign w:val="center"/>
          </w:tcPr>
          <w:p w14:paraId="0D93413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bookmarkStart w:id="48" w:name="OLE_LINK12" w:colFirst="7" w:colLast="7"/>
            <w:bookmarkStart w:id="49" w:name="OLE_LINK21" w:colFirst="8" w:colLast="8"/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1D7D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  <w:t>复合强化木地板</w:t>
            </w:r>
          </w:p>
        </w:tc>
        <w:tc>
          <w:tcPr>
            <w:tcW w:w="1068" w:type="dxa"/>
            <w:vAlign w:val="center"/>
          </w:tcPr>
          <w:p w14:paraId="2EA3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  <w:t>10/11mm</w:t>
            </w:r>
          </w:p>
        </w:tc>
        <w:tc>
          <w:tcPr>
            <w:tcW w:w="1110" w:type="dxa"/>
            <w:vAlign w:val="center"/>
          </w:tcPr>
          <w:p w14:paraId="39AD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vAlign w:val="center"/>
          </w:tcPr>
          <w:p w14:paraId="7D9D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  <w:t>㎡</w:t>
            </w:r>
          </w:p>
        </w:tc>
        <w:tc>
          <w:tcPr>
            <w:tcW w:w="930" w:type="dxa"/>
            <w:vAlign w:val="center"/>
          </w:tcPr>
          <w:p w14:paraId="7E81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4700</w:t>
            </w:r>
          </w:p>
        </w:tc>
        <w:tc>
          <w:tcPr>
            <w:tcW w:w="1146" w:type="dxa"/>
            <w:vAlign w:val="center"/>
          </w:tcPr>
          <w:p w14:paraId="4E9C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 w14:paraId="25CDFF4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77E5999E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含税总价的税率为13%</w:t>
            </w:r>
          </w:p>
        </w:tc>
      </w:tr>
      <w:tr w14:paraId="4AAD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0" w:type="dxa"/>
            <w:vAlign w:val="center"/>
          </w:tcPr>
          <w:p w14:paraId="62E7C4B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 w14:paraId="0A0E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  <w:t>复合强化木地板</w:t>
            </w:r>
          </w:p>
        </w:tc>
        <w:tc>
          <w:tcPr>
            <w:tcW w:w="1068" w:type="dxa"/>
            <w:vAlign w:val="center"/>
          </w:tcPr>
          <w:p w14:paraId="2D20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</w:t>
            </w:r>
          </w:p>
        </w:tc>
        <w:tc>
          <w:tcPr>
            <w:tcW w:w="1110" w:type="dxa"/>
            <w:vAlign w:val="center"/>
          </w:tcPr>
          <w:p w14:paraId="5AF6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0" w:type="dxa"/>
            <w:vAlign w:val="center"/>
          </w:tcPr>
          <w:p w14:paraId="3C03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  <w:t>㎡</w:t>
            </w:r>
          </w:p>
        </w:tc>
        <w:tc>
          <w:tcPr>
            <w:tcW w:w="930" w:type="dxa"/>
            <w:vAlign w:val="center"/>
          </w:tcPr>
          <w:p w14:paraId="491B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4700</w:t>
            </w:r>
          </w:p>
        </w:tc>
        <w:tc>
          <w:tcPr>
            <w:tcW w:w="1146" w:type="dxa"/>
            <w:vAlign w:val="center"/>
          </w:tcPr>
          <w:p w14:paraId="637A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 w14:paraId="1478559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</w:p>
        </w:tc>
        <w:tc>
          <w:tcPr>
            <w:tcW w:w="1513" w:type="dxa"/>
            <w:vMerge w:val="continue"/>
            <w:tcBorders/>
            <w:vAlign w:val="center"/>
          </w:tcPr>
          <w:p w14:paraId="1667BCD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</w:p>
        </w:tc>
      </w:tr>
      <w:bookmarkEnd w:id="46"/>
      <w:bookmarkEnd w:id="47"/>
      <w:bookmarkEnd w:id="48"/>
      <w:bookmarkEnd w:id="49"/>
      <w:tr w14:paraId="66778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40" w:type="dxa"/>
            <w:gridSpan w:val="9"/>
            <w:vAlign w:val="center"/>
          </w:tcPr>
          <w:p w14:paraId="7041485E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bookmarkStart w:id="50" w:name="OLE_LINK8" w:colFirst="1" w:colLast="1"/>
            <w:bookmarkStart w:id="51" w:name="OLE_LINK10" w:colFirst="1" w:colLast="2"/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1.质保期为</w:t>
            </w: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  <w:t>年。</w:t>
            </w:r>
          </w:p>
        </w:tc>
      </w:tr>
      <w:tr w14:paraId="636D4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40" w:type="dxa"/>
            <w:gridSpan w:val="9"/>
            <w:vAlign w:val="center"/>
          </w:tcPr>
          <w:p w14:paraId="59E11332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2.其他说明：</w:t>
            </w:r>
          </w:p>
        </w:tc>
      </w:tr>
      <w:bookmarkEnd w:id="50"/>
      <w:bookmarkEnd w:id="51"/>
    </w:tbl>
    <w:p w14:paraId="05F3D44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default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注：意向供应商需各选10mm（或11mm）、12mm厚度的两款进行报价。</w:t>
      </w:r>
    </w:p>
    <w:p w14:paraId="14351A7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我方已详细审查全部询价函，我们完全理解并同意放弃对这方面有误解的权利。</w:t>
      </w:r>
    </w:p>
    <w:p w14:paraId="4C7C15D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我方承诺如中选，在项目实施全过程中工作行为受询价人监督，严格按相关标准规范进行施工。</w:t>
      </w:r>
      <w:bookmarkStart w:id="52" w:name="_GoBack"/>
      <w:bookmarkEnd w:id="52"/>
    </w:p>
    <w:p w14:paraId="092066ED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bidi w:val="0"/>
        <w:adjustRightInd/>
        <w:snapToGrid w:val="0"/>
        <w:spacing w:line="240" w:lineRule="auto"/>
        <w:ind w:firstLine="482"/>
        <w:jc w:val="center"/>
        <w:rPr>
          <w:rFonts w:hint="eastAsia" w:ascii="仿宋" w:hAnsi="仿宋" w:eastAsia="仿宋" w:cs="仿宋"/>
          <w:b w:val="0"/>
          <w:bCs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   报  价  人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highlight w:val="none"/>
          <w:u w:val="none"/>
          <w:lang w:val="en-US" w:eastAsia="zh-CN" w:bidi="ar-SA"/>
        </w:rPr>
        <w:t xml:space="preserve">（盖章） </w:t>
      </w:r>
    </w:p>
    <w:p w14:paraId="7F80E0BE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bidi w:val="0"/>
        <w:adjustRightInd/>
        <w:snapToGrid w:val="0"/>
        <w:spacing w:line="240" w:lineRule="auto"/>
        <w:ind w:firstLine="987" w:firstLineChars="329"/>
        <w:jc w:val="both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日      期：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2024年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日</w:t>
      </w:r>
    </w:p>
    <w:p w14:paraId="7568AB95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bidi w:val="0"/>
        <w:adjustRightInd/>
        <w:snapToGrid w:val="0"/>
        <w:spacing w:line="240" w:lineRule="auto"/>
        <w:ind w:firstLine="987" w:firstLineChars="329"/>
        <w:jc w:val="both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</w:p>
    <w:p w14:paraId="2EA4A1BD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bidi w:val="0"/>
        <w:adjustRightInd/>
        <w:snapToGrid w:val="0"/>
        <w:spacing w:line="240" w:lineRule="auto"/>
        <w:jc w:val="both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（联系人：         ， 联系电话：                ）</w:t>
      </w:r>
    </w:p>
    <w:p w14:paraId="03CBBEFD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bidi w:val="0"/>
        <w:adjustRightInd/>
        <w:snapToGrid w:val="0"/>
        <w:spacing w:line="240" w:lineRule="auto"/>
        <w:jc w:val="both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YjIwZjczNThiMTJmNjBhMDQ2MWZiYjI2NzliNmEifQ=="/>
    <w:docVar w:name="KSO_WPS_MARK_KEY" w:val="854c8cf2-f5ae-40b3-9756-62e94710ba2e"/>
  </w:docVars>
  <w:rsids>
    <w:rsidRoot w:val="009E4201"/>
    <w:rsid w:val="001B3180"/>
    <w:rsid w:val="00376FE4"/>
    <w:rsid w:val="00441786"/>
    <w:rsid w:val="005D2F6F"/>
    <w:rsid w:val="009B5FC0"/>
    <w:rsid w:val="009E4201"/>
    <w:rsid w:val="07F860A2"/>
    <w:rsid w:val="0A2B586A"/>
    <w:rsid w:val="0B077FE5"/>
    <w:rsid w:val="0DBE0DD6"/>
    <w:rsid w:val="0F1149A4"/>
    <w:rsid w:val="12782CC2"/>
    <w:rsid w:val="13361D69"/>
    <w:rsid w:val="13EE4D38"/>
    <w:rsid w:val="14FE214A"/>
    <w:rsid w:val="152754B3"/>
    <w:rsid w:val="161947AA"/>
    <w:rsid w:val="17573CAD"/>
    <w:rsid w:val="18DE535B"/>
    <w:rsid w:val="193700C7"/>
    <w:rsid w:val="1D375297"/>
    <w:rsid w:val="21496029"/>
    <w:rsid w:val="23CA33B4"/>
    <w:rsid w:val="251D65D7"/>
    <w:rsid w:val="25E63BC7"/>
    <w:rsid w:val="274C1FFB"/>
    <w:rsid w:val="27E629EC"/>
    <w:rsid w:val="287133F1"/>
    <w:rsid w:val="2DD81436"/>
    <w:rsid w:val="2EE26656"/>
    <w:rsid w:val="33714AC8"/>
    <w:rsid w:val="354B2B23"/>
    <w:rsid w:val="383C1B0A"/>
    <w:rsid w:val="3CBB34A2"/>
    <w:rsid w:val="3E3F52C4"/>
    <w:rsid w:val="3EDE50F5"/>
    <w:rsid w:val="3EFF2D2A"/>
    <w:rsid w:val="3F976354"/>
    <w:rsid w:val="4B484707"/>
    <w:rsid w:val="4FD9320F"/>
    <w:rsid w:val="500F2CF0"/>
    <w:rsid w:val="51307CFD"/>
    <w:rsid w:val="513E3277"/>
    <w:rsid w:val="547843F4"/>
    <w:rsid w:val="57D95B82"/>
    <w:rsid w:val="59D062E8"/>
    <w:rsid w:val="5A9D4E31"/>
    <w:rsid w:val="5ECA471C"/>
    <w:rsid w:val="62713F31"/>
    <w:rsid w:val="65DA6490"/>
    <w:rsid w:val="68715BDE"/>
    <w:rsid w:val="6CAD17D7"/>
    <w:rsid w:val="6D886FFB"/>
    <w:rsid w:val="6FD7072C"/>
    <w:rsid w:val="7205191F"/>
    <w:rsid w:val="755F5A6F"/>
    <w:rsid w:val="75EA4B7D"/>
    <w:rsid w:val="75F97611"/>
    <w:rsid w:val="78952465"/>
    <w:rsid w:val="79D7587D"/>
    <w:rsid w:val="7B153B4D"/>
    <w:rsid w:val="7C7442CF"/>
    <w:rsid w:val="7DCA172F"/>
    <w:rsid w:val="7F2F22B8"/>
    <w:rsid w:val="BE7ABD44"/>
    <w:rsid w:val="E5A3F041"/>
    <w:rsid w:val="EBE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1312</Words>
  <Characters>1423</Characters>
  <Lines>1</Lines>
  <Paragraphs>1</Paragraphs>
  <TotalTime>71</TotalTime>
  <ScaleCrop>false</ScaleCrop>
  <LinksUpToDate>false</LinksUpToDate>
  <CharactersWithSpaces>1582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2023-08-25T17:42:00Z</dcterms:created>
  <dc:creator>LBF</dc:creator>
  <cp:lastModifiedBy>只为遇见更好的自己</cp:lastModifiedBy>
  <cp:lastPrinted>2024-07-12T16:59:00Z</cp:lastPrinted>
  <dcterms:modified xsi:type="dcterms:W3CDTF">2024-09-11T07:44:04Z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8430D13A22B04941815665CF62A02EB1</vt:lpwstr>
  </property>
</Properties>
</file>