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G321西秀区青山至普定熊家场公路(普定新房至熊家场段)改扩建工程路基工程劳务分包第LJLW-2(K4+000-K8+000)标段劳务分包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  <w:t>招标公告</w:t>
      </w:r>
    </w:p>
    <w:p w14:paraId="44F04EEE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G321西秀区青山至普定熊家场公路(普定新房至熊家场段)改扩建工程路基工程劳务分包第LJLW-2(K4+000-K8+000)标段劳务分包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招标。现将有关事项公告如下：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3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G321西秀区青山至普定熊家场公路(普定新房至熊家场段)改扩建工程路基工程劳务分包第LJLW-2(K4+000-K8+000)标段劳务分包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（二）项目地点：贵州省安顺市普定县。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（三）项目规模： G321西秀区青山至普定熊家场公路（普定新房至熊家场段）改扩建工程起点与G321普定新房至褚家山段（普定绕城公路）以及跃进路形成十字交叉，经木乃村、金鸡山、地坝村、坪上村、和坪村、马路坡、白水村，终点止于普定县与织金县边界熊家场，路线全长24.815公里。全线按二级公路技术标准进行改扩建，设计速度为40公里/小时，路基宽度8.5米，设计汽车荷载等级为公路-I级，路面结构为沥青混凝土路面。</w:t>
      </w:r>
    </w:p>
    <w:p w14:paraId="30AAAA2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G321西秀区青山至普定熊家场公路(普定新房至熊家场段)改扩建工程路基工程劳务分包第LJLW-2(K4+000-K8+000)标段劳务分包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96A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4B38D1FB"/>
        </w:tc>
        <w:tc>
          <w:tcPr>
            <w:tcW w:w="2600" w:type="dxa"/>
            <w:noWrap w:val="0"/>
            <w:vAlign w:val="center"/>
          </w:tcPr>
          <w:p w14:paraId="4B33053C"/>
        </w:tc>
        <w:tc>
          <w:tcPr>
            <w:tcW w:w="3566" w:type="dxa"/>
            <w:noWrap w:val="0"/>
            <w:vAlign w:val="center"/>
          </w:tcPr>
          <w:p w14:paraId="460DCED9"/>
        </w:tc>
        <w:tc>
          <w:tcPr>
            <w:tcW w:w="2283" w:type="dxa"/>
            <w:noWrap w:val="0"/>
            <w:vAlign w:val="center"/>
          </w:tcPr>
          <w:p w14:paraId="199FC2C7"/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LJLW-2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K4+000-K8+000段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3,997,850.63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（四）工期：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缺陷责任期2年。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）招标范围：本标段招标文件、施工图纸、工程量清单、答疑文件所示全部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28420C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或安顺公路建设养护有限公司二级劳务库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提供集团或安顺建养公司出具的相关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5、本次招标不接受联合体投标。</w:t>
      </w:r>
    </w:p>
    <w:p w14:paraId="04512A8A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1558837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2025年03月06日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2025年03月11日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进入集团或招标人劳务队伍库证明材料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12A17C0A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投标报价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文件的递交</w:t>
      </w:r>
    </w:p>
    <w:p w14:paraId="2DF3AE7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（一）递交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文件的截止时间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2025年03月14日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0分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投标人应于当日9:00至9:30分之间现场递交投标文件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。地点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（贵州省安顺市经济技术开发区普定路42 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届时请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标人的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全权代表人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（携带法定代表人授权委托书及身份证原件）出席开标会议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8D61BB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（二）逾期送达或者未送达指定地点的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文件，招标人不予受理。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本次招标公告在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上发布。</w:t>
      </w:r>
    </w:p>
    <w:p w14:paraId="5829291D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六、联系方式</w:t>
      </w:r>
    </w:p>
    <w:p w14:paraId="60C4B70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招标人：安顺公路建设养护有限公司</w:t>
      </w:r>
    </w:p>
    <w:p w14:paraId="685B070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地址：贵州省安顺市经济技术开发区普定路42号</w:t>
      </w:r>
    </w:p>
    <w:p w14:paraId="7F668D5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肖昱玲</w:t>
      </w:r>
    </w:p>
    <w:p w14:paraId="7B2F794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18508538841</w:t>
      </w:r>
    </w:p>
    <w:p w14:paraId="46C05751">
      <w:pPr>
        <w:pStyle w:val="7"/>
        <w:spacing w:line="360" w:lineRule="auto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2025年03月06日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929EE-9105-4D97-9850-624FF84CA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1799013-CAF9-44E5-BB44-9EAA65B087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4A0E75-1E2A-4673-AC18-190C570F77E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69DF1B4-A04E-42AC-A696-4A539E7BC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234A1475"/>
    <w:rsid w:val="4E24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1"/>
    <w:uiPriority w:val="0"/>
    <w:rPr>
      <w:szCs w:val="20"/>
    </w:rPr>
  </w:style>
  <w:style w:type="paragraph" w:styleId="3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若人生只如初见</cp:lastModifiedBy>
  <dcterms:modified xsi:type="dcterms:W3CDTF">2025-03-06T09:05:06Z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870D269500FA47FCBF40DB3E552B2CEE_11</vt:lpwstr>
  </property>
  <property fmtid="{D5CDD505-2E9C-101B-9397-08002B2CF9AE}" pid="4" name="KSOTemplateDocerSaveRecord">
    <vt:lpwstr>eyJoZGlkIjoiZWE5MDJmMWY3YWUyM2ZiMDA0OTkyZjdmODFmNzY4MjMiLCJ1c2VySWQiOiIyNTAyMTUxNzkifQ==</vt:lpwstr>
  </property>
</Properties>
</file>