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3DE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28"/>
          <w:szCs w:val="28"/>
        </w:rPr>
      </w:pPr>
      <w:r>
        <w:rPr>
          <w:rFonts w:hint="eastAsia" w:ascii="方正细等线简体" w:hAnsi="方正细等线简体" w:eastAsia="方正细等线简体" w:cs="方正细等线简体"/>
          <w:b/>
          <w:sz w:val="32"/>
          <w:szCs w:val="28"/>
        </w:rPr>
        <w:t>第一章：竞争性谈判公告</w:t>
      </w: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贵州高速黔通建设工程有限公司G6002贵阳环城高速公路扩容工程土建工程T10合同段自行组织钢构大棚安装项目</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lang w:val="en-US" w:eastAsia="zh-CN"/>
        </w:rPr>
        <w:t>进行</w:t>
      </w:r>
      <w:r>
        <w:rPr>
          <w:rFonts w:hint="eastAsia" w:ascii="方正细等线简体" w:hAnsi="方正细等线简体" w:eastAsia="方正细等线简体" w:cs="方正细等线简体"/>
          <w:sz w:val="24"/>
          <w:szCs w:val="24"/>
        </w:rPr>
        <w:t>，特邀请有关单位参加竞标，现将公告如下：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贵州高速黔通建设工程有限公司G6002贵阳环城高速公路扩容工程土建工程T10合同段钢构大棚安装</w:t>
      </w:r>
      <w:r>
        <w:rPr>
          <w:rFonts w:hint="eastAsia" w:ascii="方正细等线简体" w:hAnsi="方正细等线简体" w:eastAsia="方正细等线简体" w:cs="方正细等线简体"/>
          <w:bCs/>
          <w:color w:val="000000" w:themeColor="text1"/>
          <w:sz w:val="24"/>
          <w:szCs w:val="24"/>
          <w:highlight w:val="none"/>
          <w:u w:val="none"/>
          <w:lang w:val="en-US"/>
        </w:rPr>
        <w:t xml:space="preserve"> </w:t>
      </w:r>
      <w:r>
        <w:rPr>
          <w:rFonts w:hint="eastAsia" w:ascii="方正细等线简体" w:hAnsi="方正细等线简体" w:eastAsia="方正细等线简体" w:cs="方正细等线简体"/>
          <w:bCs/>
          <w:color w:val="000000" w:themeColor="text1"/>
          <w:sz w:val="24"/>
          <w:szCs w:val="24"/>
          <w:highlight w:val="none"/>
          <w:u w:val="none"/>
          <w:lang w:val="en-US" w:eastAsia="zh-CN"/>
        </w:rPr>
        <w:t>。</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2026-7-1</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贵州高速黔通建设工程有限公司G6002贵阳环城高速公路扩容工程土建工程T10合同段</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 xml:space="preserve">3.2 </w:t>
      </w:r>
      <w:r>
        <w:rPr>
          <w:rFonts w:hint="eastAsia" w:ascii="方正细等线简体" w:hAnsi="方正细等线简体" w:eastAsia="方正细等线简体" w:cs="方正细等线简体"/>
          <w:color w:val="000000" w:themeColor="text1"/>
          <w:sz w:val="24"/>
          <w:szCs w:val="24"/>
          <w:lang w:val="en-US" w:eastAsia="zh-CN"/>
        </w:rPr>
        <w:t>安装明细</w:t>
      </w:r>
      <w:r>
        <w:rPr>
          <w:rFonts w:hint="eastAsia" w:ascii="方正细等线简体" w:hAnsi="方正细等线简体" w:eastAsia="方正细等线简体" w:cs="方正细等线简体"/>
          <w:color w:val="000000" w:themeColor="text1"/>
          <w:sz w:val="24"/>
          <w:szCs w:val="24"/>
          <w:lang w:val="en-US"/>
        </w:rPr>
        <w:t>：</w:t>
      </w:r>
    </w:p>
    <w:tbl>
      <w:tblPr>
        <w:tblStyle w:val="12"/>
        <w:tblW w:w="8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7"/>
        <w:gridCol w:w="1560"/>
        <w:gridCol w:w="337"/>
        <w:gridCol w:w="1080"/>
        <w:gridCol w:w="520"/>
        <w:gridCol w:w="800"/>
        <w:gridCol w:w="1351"/>
        <w:gridCol w:w="2893"/>
      </w:tblGrid>
      <w:tr w14:paraId="2909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337" w:type="dxa"/>
            <w:vAlign w:val="center"/>
          </w:tcPr>
          <w:p w14:paraId="24A9544B">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序号</w:t>
            </w:r>
          </w:p>
        </w:tc>
        <w:tc>
          <w:tcPr>
            <w:tcW w:w="1560" w:type="dxa"/>
            <w:vAlign w:val="center"/>
          </w:tcPr>
          <w:p w14:paraId="0D170EA8">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名称</w:t>
            </w:r>
          </w:p>
        </w:tc>
        <w:tc>
          <w:tcPr>
            <w:tcW w:w="337" w:type="dxa"/>
            <w:vAlign w:val="center"/>
          </w:tcPr>
          <w:p w14:paraId="0A396D75">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单位</w:t>
            </w:r>
          </w:p>
        </w:tc>
        <w:tc>
          <w:tcPr>
            <w:tcW w:w="1080" w:type="dxa"/>
            <w:vAlign w:val="center"/>
          </w:tcPr>
          <w:p w14:paraId="34585D37">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单价</w:t>
            </w:r>
          </w:p>
          <w:p w14:paraId="1AD98F68">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（不含税）</w:t>
            </w:r>
          </w:p>
        </w:tc>
        <w:tc>
          <w:tcPr>
            <w:tcW w:w="520" w:type="dxa"/>
            <w:vAlign w:val="center"/>
          </w:tcPr>
          <w:p w14:paraId="67AC1737">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税率</w:t>
            </w:r>
          </w:p>
        </w:tc>
        <w:tc>
          <w:tcPr>
            <w:tcW w:w="800" w:type="dxa"/>
            <w:vAlign w:val="center"/>
          </w:tcPr>
          <w:p w14:paraId="20AB7CCE">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暂估数量</w:t>
            </w:r>
          </w:p>
        </w:tc>
        <w:tc>
          <w:tcPr>
            <w:tcW w:w="1351" w:type="dxa"/>
            <w:vAlign w:val="center"/>
          </w:tcPr>
          <w:p w14:paraId="67CF1AE9">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暂估总价</w:t>
            </w:r>
          </w:p>
          <w:p w14:paraId="33DDD5FC">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（元）</w:t>
            </w:r>
          </w:p>
        </w:tc>
        <w:tc>
          <w:tcPr>
            <w:tcW w:w="2893" w:type="dxa"/>
            <w:vAlign w:val="center"/>
          </w:tcPr>
          <w:p w14:paraId="754A495E">
            <w:pPr>
              <w:snapToGrid w:val="0"/>
              <w:spacing w:before="201" w:line="240" w:lineRule="auto"/>
              <w:ind w:left="0" w:leftChars="0" w:right="0" w:rightChars="0" w:firstLine="0" w:firstLineChars="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备注</w:t>
            </w:r>
          </w:p>
        </w:tc>
      </w:tr>
      <w:tr w14:paraId="42DD3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jc w:val="center"/>
        </w:trPr>
        <w:tc>
          <w:tcPr>
            <w:tcW w:w="337" w:type="dxa"/>
            <w:vAlign w:val="center"/>
          </w:tcPr>
          <w:p w14:paraId="713CB200">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w:t>
            </w:r>
          </w:p>
        </w:tc>
        <w:tc>
          <w:tcPr>
            <w:tcW w:w="1560" w:type="dxa"/>
            <w:vAlign w:val="center"/>
          </w:tcPr>
          <w:p w14:paraId="103C5B65">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钢构大棚</w:t>
            </w:r>
          </w:p>
        </w:tc>
        <w:tc>
          <w:tcPr>
            <w:tcW w:w="337" w:type="dxa"/>
            <w:vAlign w:val="center"/>
          </w:tcPr>
          <w:p w14:paraId="752EB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8"/>
                <w:u w:val="none"/>
                <w:lang w:val="en-US" w:eastAsia="zh-CN" w:bidi="ar"/>
              </w:rPr>
              <w:t>㎡</w:t>
            </w:r>
          </w:p>
        </w:tc>
        <w:tc>
          <w:tcPr>
            <w:tcW w:w="1080" w:type="dxa"/>
            <w:vAlign w:val="center"/>
          </w:tcPr>
          <w:p w14:paraId="02FFACF3">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120.00</w:t>
            </w:r>
          </w:p>
        </w:tc>
        <w:tc>
          <w:tcPr>
            <w:tcW w:w="520" w:type="dxa"/>
            <w:vAlign w:val="center"/>
          </w:tcPr>
          <w:p w14:paraId="4666B31F">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9%</w:t>
            </w:r>
          </w:p>
        </w:tc>
        <w:tc>
          <w:tcPr>
            <w:tcW w:w="800" w:type="dxa"/>
            <w:vAlign w:val="center"/>
          </w:tcPr>
          <w:p w14:paraId="5196B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8"/>
                <w:u w:val="none"/>
                <w:lang w:val="en-US" w:eastAsia="zh-CN" w:bidi="ar"/>
              </w:rPr>
              <w:t>4500</w:t>
            </w:r>
          </w:p>
        </w:tc>
        <w:tc>
          <w:tcPr>
            <w:tcW w:w="1351" w:type="dxa"/>
            <w:vAlign w:val="center"/>
          </w:tcPr>
          <w:p w14:paraId="33C1D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8"/>
                <w:u w:val="none"/>
                <w:lang w:val="en-US" w:eastAsia="zh-CN" w:bidi="ar"/>
              </w:rPr>
              <w:t>540000</w:t>
            </w:r>
          </w:p>
        </w:tc>
        <w:tc>
          <w:tcPr>
            <w:tcW w:w="2893" w:type="dxa"/>
            <w:vAlign w:val="center"/>
          </w:tcPr>
          <w:p w14:paraId="021AE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4"/>
                <w:u w:val="none"/>
                <w:lang w:val="en-US" w:eastAsia="zh-CN" w:bidi="ar"/>
              </w:rPr>
              <w:t>立柱间隔6米、厚3.5mm，直径219mm圆管.屋架梁厚2.5mm圆管。屋面檩条厚2.5mm,80mm×40mm镀锌方管。屋面瓦0.32mm彩钢瓦。</w:t>
            </w:r>
          </w:p>
        </w:tc>
      </w:tr>
      <w:tr w14:paraId="4CD1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jc w:val="center"/>
        </w:trPr>
        <w:tc>
          <w:tcPr>
            <w:tcW w:w="337" w:type="dxa"/>
            <w:vAlign w:val="center"/>
          </w:tcPr>
          <w:p w14:paraId="78AB1D12">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w:t>
            </w:r>
          </w:p>
        </w:tc>
        <w:tc>
          <w:tcPr>
            <w:tcW w:w="1560" w:type="dxa"/>
            <w:vAlign w:val="center"/>
          </w:tcPr>
          <w:p w14:paraId="02E616C3">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钢构大棚围边</w:t>
            </w:r>
          </w:p>
        </w:tc>
        <w:tc>
          <w:tcPr>
            <w:tcW w:w="337" w:type="dxa"/>
            <w:vAlign w:val="center"/>
          </w:tcPr>
          <w:p w14:paraId="7C0F1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8"/>
                <w:u w:val="none"/>
                <w:lang w:val="en-US" w:eastAsia="zh-CN" w:bidi="ar"/>
              </w:rPr>
              <w:t>㎡</w:t>
            </w:r>
          </w:p>
        </w:tc>
        <w:tc>
          <w:tcPr>
            <w:tcW w:w="1080" w:type="dxa"/>
            <w:vAlign w:val="center"/>
          </w:tcPr>
          <w:p w14:paraId="6DBAC25C">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42.00</w:t>
            </w:r>
          </w:p>
        </w:tc>
        <w:tc>
          <w:tcPr>
            <w:tcW w:w="520" w:type="dxa"/>
            <w:shd w:val="clear" w:color="auto" w:fill="auto"/>
            <w:vAlign w:val="center"/>
          </w:tcPr>
          <w:p w14:paraId="35A9B870">
            <w:pPr>
              <w:snapToGrid w:val="0"/>
              <w:spacing w:before="201" w:line="240" w:lineRule="auto"/>
              <w:ind w:left="0" w:leftChars="0" w:right="0" w:rightChars="0" w:firstLine="0" w:firstLineChars="0"/>
              <w:jc w:val="center"/>
              <w:rPr>
                <w:rFonts w:hint="eastAsia" w:ascii="宋体" w:hAnsi="宋体" w:eastAsia="宋体" w:cs="宋体"/>
                <w:sz w:val="24"/>
                <w:szCs w:val="28"/>
                <w:lang w:val="en-US" w:eastAsia="zh-CN" w:bidi="zh-CN"/>
              </w:rPr>
            </w:pPr>
            <w:r>
              <w:rPr>
                <w:rFonts w:hint="eastAsia" w:ascii="宋体" w:hAnsi="宋体" w:eastAsia="宋体" w:cs="宋体"/>
                <w:sz w:val="24"/>
                <w:szCs w:val="28"/>
                <w:lang w:val="en-US" w:eastAsia="zh-CN"/>
              </w:rPr>
              <w:t>9%</w:t>
            </w:r>
          </w:p>
        </w:tc>
        <w:tc>
          <w:tcPr>
            <w:tcW w:w="800" w:type="dxa"/>
            <w:shd w:val="clear" w:color="auto" w:fill="auto"/>
            <w:vAlign w:val="center"/>
          </w:tcPr>
          <w:p w14:paraId="3B1C1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bidi="zh-CN"/>
              </w:rPr>
            </w:pPr>
            <w:r>
              <w:rPr>
                <w:rFonts w:hint="eastAsia" w:ascii="宋体" w:hAnsi="宋体" w:eastAsia="宋体" w:cs="宋体"/>
                <w:i w:val="0"/>
                <w:iCs w:val="0"/>
                <w:color w:val="000000"/>
                <w:kern w:val="0"/>
                <w:sz w:val="24"/>
                <w:szCs w:val="28"/>
                <w:u w:val="none"/>
                <w:lang w:val="en-US" w:eastAsia="zh-CN" w:bidi="ar"/>
              </w:rPr>
              <w:t>5850</w:t>
            </w:r>
          </w:p>
        </w:tc>
        <w:tc>
          <w:tcPr>
            <w:tcW w:w="1351" w:type="dxa"/>
            <w:vAlign w:val="center"/>
          </w:tcPr>
          <w:p w14:paraId="7F1D7F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8"/>
                <w:u w:val="none"/>
                <w:lang w:val="en-US" w:eastAsia="zh-CN" w:bidi="ar"/>
              </w:rPr>
              <w:t>245700</w:t>
            </w:r>
          </w:p>
        </w:tc>
        <w:tc>
          <w:tcPr>
            <w:tcW w:w="2893" w:type="dxa"/>
            <w:vAlign w:val="center"/>
          </w:tcPr>
          <w:p w14:paraId="4C1D9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8"/>
                <w:lang w:val="en-US" w:eastAsia="zh-CN"/>
              </w:rPr>
            </w:pPr>
            <w:r>
              <w:rPr>
                <w:rFonts w:hint="eastAsia" w:ascii="宋体" w:hAnsi="宋体" w:eastAsia="宋体" w:cs="宋体"/>
                <w:i w:val="0"/>
                <w:iCs w:val="0"/>
                <w:color w:val="000000"/>
                <w:kern w:val="0"/>
                <w:sz w:val="24"/>
                <w:szCs w:val="24"/>
                <w:u w:val="none"/>
                <w:lang w:val="en-US" w:eastAsia="zh-CN" w:bidi="ar"/>
              </w:rPr>
              <w:t>墙面檩条厚2.5mm,60mm×40mm镀锌方管。围挡0.32mm彩钢瓦。</w:t>
            </w:r>
          </w:p>
        </w:tc>
      </w:tr>
      <w:tr w14:paraId="1D67A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3314" w:type="dxa"/>
            <w:gridSpan w:val="4"/>
            <w:vAlign w:val="center"/>
          </w:tcPr>
          <w:p w14:paraId="170F4E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sz w:val="24"/>
                <w:szCs w:val="28"/>
                <w:lang w:val="en-US" w:eastAsia="zh-CN"/>
              </w:rPr>
            </w:pPr>
            <w:r>
              <w:rPr>
                <w:rFonts w:hint="eastAsia" w:ascii="宋体" w:hAnsi="宋体" w:eastAsia="宋体" w:cs="宋体"/>
                <w:b/>
                <w:sz w:val="24"/>
                <w:szCs w:val="28"/>
                <w:lang w:val="en-US" w:eastAsia="zh-CN"/>
              </w:rPr>
              <w:t>合  计</w:t>
            </w:r>
          </w:p>
        </w:tc>
        <w:tc>
          <w:tcPr>
            <w:tcW w:w="520" w:type="dxa"/>
            <w:vAlign w:val="center"/>
          </w:tcPr>
          <w:p w14:paraId="5A48C4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sz w:val="24"/>
                <w:szCs w:val="28"/>
                <w:lang w:val="en-US" w:eastAsia="zh-CN"/>
              </w:rPr>
            </w:pPr>
          </w:p>
        </w:tc>
        <w:tc>
          <w:tcPr>
            <w:tcW w:w="800" w:type="dxa"/>
            <w:vAlign w:val="center"/>
          </w:tcPr>
          <w:p w14:paraId="137DC1A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sz w:val="24"/>
                <w:szCs w:val="28"/>
                <w:lang w:val="en-US" w:eastAsia="zh-CN"/>
              </w:rPr>
            </w:pPr>
          </w:p>
        </w:tc>
        <w:tc>
          <w:tcPr>
            <w:tcW w:w="1351" w:type="dxa"/>
            <w:vAlign w:val="center"/>
          </w:tcPr>
          <w:p w14:paraId="5C71E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4"/>
                <w:szCs w:val="28"/>
                <w:u w:val="none"/>
                <w:lang w:val="en-US" w:eastAsia="zh-CN" w:bidi="ar"/>
              </w:rPr>
            </w:pPr>
            <w:r>
              <w:rPr>
                <w:rFonts w:hint="eastAsia" w:ascii="宋体" w:hAnsi="宋体" w:eastAsia="宋体" w:cs="宋体"/>
                <w:b/>
                <w:i w:val="0"/>
                <w:iCs w:val="0"/>
                <w:snapToGrid w:val="0"/>
                <w:color w:val="000000"/>
                <w:kern w:val="0"/>
                <w:sz w:val="24"/>
                <w:szCs w:val="28"/>
                <w:u w:val="none"/>
                <w:lang w:val="en-US" w:eastAsia="zh-CN" w:bidi="ar"/>
              </w:rPr>
              <w:t>7</w:t>
            </w:r>
            <w:r>
              <w:rPr>
                <w:rFonts w:hint="eastAsia" w:cs="宋体"/>
                <w:b/>
                <w:i w:val="0"/>
                <w:iCs w:val="0"/>
                <w:snapToGrid w:val="0"/>
                <w:color w:val="000000"/>
                <w:kern w:val="0"/>
                <w:sz w:val="24"/>
                <w:szCs w:val="28"/>
                <w:u w:val="none"/>
                <w:lang w:val="en-US" w:eastAsia="zh-CN" w:bidi="ar"/>
              </w:rPr>
              <w:t>8</w:t>
            </w:r>
            <w:r>
              <w:rPr>
                <w:rFonts w:hint="eastAsia" w:ascii="宋体" w:hAnsi="宋体" w:eastAsia="宋体" w:cs="宋体"/>
                <w:b/>
                <w:i w:val="0"/>
                <w:iCs w:val="0"/>
                <w:snapToGrid w:val="0"/>
                <w:color w:val="000000"/>
                <w:kern w:val="0"/>
                <w:sz w:val="24"/>
                <w:szCs w:val="28"/>
                <w:u w:val="none"/>
                <w:lang w:val="en-US" w:eastAsia="zh-CN" w:bidi="ar"/>
              </w:rPr>
              <w:t>5700.00</w:t>
            </w:r>
          </w:p>
        </w:tc>
        <w:tc>
          <w:tcPr>
            <w:tcW w:w="2893" w:type="dxa"/>
            <w:vAlign w:val="center"/>
          </w:tcPr>
          <w:p w14:paraId="1F0A1E3E">
            <w:pPr>
              <w:snapToGrid w:val="0"/>
              <w:ind w:left="0" w:leftChars="0" w:right="0" w:rightChars="0" w:firstLine="0" w:firstLineChars="0"/>
              <w:jc w:val="left"/>
              <w:rPr>
                <w:rFonts w:hint="eastAsia" w:ascii="宋体" w:hAnsi="宋体" w:eastAsia="宋体" w:cs="宋体"/>
                <w:b/>
                <w:sz w:val="24"/>
                <w:szCs w:val="28"/>
              </w:rPr>
            </w:pPr>
          </w:p>
        </w:tc>
      </w:tr>
    </w:tbl>
    <w:p w14:paraId="0E7A3F29">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lang w:val="en-US" w:eastAsia="zh-CN"/>
        </w:rPr>
      </w:pP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 xml:space="preserve">3.3 </w:t>
      </w:r>
      <w:r>
        <w:rPr>
          <w:rFonts w:hint="eastAsia" w:ascii="方正细等线简体" w:hAnsi="方正细等线简体" w:eastAsia="方正细等线简体" w:cs="方正细等线简体"/>
          <w:color w:val="000000" w:themeColor="text1"/>
          <w:sz w:val="24"/>
          <w:szCs w:val="24"/>
          <w:lang w:val="en-US" w:eastAsia="zh-CN"/>
        </w:rPr>
        <w:t>安装</w:t>
      </w:r>
      <w:r>
        <w:rPr>
          <w:rFonts w:hint="eastAsia" w:ascii="方正细等线简体" w:hAnsi="方正细等线简体" w:eastAsia="方正细等线简体" w:cs="方正细等线简体"/>
          <w:color w:val="000000" w:themeColor="text1"/>
          <w:sz w:val="24"/>
          <w:szCs w:val="24"/>
          <w:lang w:val="en-US"/>
        </w:rPr>
        <w:t>地点：</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G6002贵阳环城高速公路扩容工程土建工程T10合同段三工区</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钢构大棚安装</w:t>
      </w:r>
      <w:r>
        <w:rPr>
          <w:rFonts w:hint="eastAsia" w:ascii="方正细等线简体" w:hAnsi="方正细等线简体" w:eastAsia="方正细等线简体" w:cs="方正细等线简体"/>
          <w:color w:val="000000" w:themeColor="text1"/>
          <w:sz w:val="24"/>
          <w:szCs w:val="24"/>
          <w:lang w:val="en-US"/>
        </w:rPr>
        <w:t>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w:t>
      </w:r>
      <w:r>
        <w:rPr>
          <w:rFonts w:hint="eastAsia" w:ascii="方正细等线简体" w:hAnsi="方正细等线简体" w:eastAsia="方正细等线简体" w:cs="方正细等线简体"/>
          <w:color w:val="000000" w:themeColor="text1"/>
          <w:sz w:val="24"/>
          <w:szCs w:val="24"/>
          <w:lang w:val="en-US" w:eastAsia="zh-CN"/>
        </w:rPr>
        <w:t>（9</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甲方以</w:t>
      </w:r>
      <w:r>
        <w:rPr>
          <w:rFonts w:hint="eastAsia" w:ascii="方正细等线简体" w:hAnsi="方正细等线简体" w:eastAsia="方正细等线简体" w:cs="方正细等线简体"/>
          <w:sz w:val="24"/>
          <w:u w:val="single"/>
          <w:lang w:val="en-US" w:eastAsia="zh-CN"/>
        </w:rPr>
        <w:t>/</w:t>
      </w:r>
      <w:r>
        <w:rPr>
          <w:rFonts w:hint="eastAsia" w:ascii="方正细等线简体" w:hAnsi="方正细等线简体" w:eastAsia="方正细等线简体" w:cs="方正细等线简体"/>
          <w:sz w:val="24"/>
          <w:u w:val="single"/>
        </w:rPr>
        <w:t xml:space="preserve">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color w:val="000000" w:themeColor="text1"/>
          <w:sz w:val="24"/>
          <w:szCs w:val="24"/>
          <w:u w:val="single"/>
          <w:lang w:val="en-US" w:eastAsia="zh-CN"/>
        </w:rPr>
        <w:t>9</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4E1BE115">
      <w:pPr>
        <w:spacing w:line="520" w:lineRule="exact"/>
        <w:ind w:firstLine="481"/>
        <w:rPr>
          <w:rFonts w:hint="eastAsia" w:ascii="方正细等线简体" w:hAnsi="方正细等线简体" w:eastAsia="方正细等线简体" w:cs="方正细等线简体"/>
          <w:sz w:val="24"/>
          <w:u w:val="single"/>
          <w:lang w:val="en-US" w:eastAsia="zh-CN"/>
        </w:rPr>
      </w:pP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180天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7</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27</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10</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u w:val="single"/>
          <w:lang w:val="en-US" w:eastAsia="zh-CN"/>
        </w:rPr>
        <w:t>G6002贵阳环城高速公路扩容工程土建工程T10合同段</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firstLine="720" w:firstLineChars="300"/>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贵州高速黔通建设工程有限公司G6002贵阳环城高速公路扩容工程土建工程T10合同段</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firstLine="480" w:firstLineChars="200"/>
        <w:rPr>
          <w:rFonts w:hint="default"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地  址: </w:t>
      </w:r>
      <w:r>
        <w:rPr>
          <w:rFonts w:hint="eastAsia" w:ascii="方正细等线简体" w:hAnsi="方正细等线简体" w:eastAsia="方正细等线简体" w:cs="方正细等线简体"/>
          <w:sz w:val="24"/>
          <w:szCs w:val="24"/>
          <w:u w:val="single"/>
          <w:lang w:val="en-US" w:eastAsia="zh-CN"/>
        </w:rPr>
        <w:t xml:space="preserve">贵州高速黔通建设工程有限公司G6002贵阳环城高速公路扩容工程土建工程T10合同段 </w:t>
      </w:r>
      <w:r>
        <w:rPr>
          <w:rFonts w:hint="eastAsia" w:ascii="方正细等线简体" w:hAnsi="方正细等线简体" w:eastAsia="方正细等线简体" w:cs="方正细等线简体"/>
          <w:sz w:val="24"/>
          <w:szCs w:val="24"/>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cs="仿宋" w:asciiTheme="majorEastAsia" w:hAnsiTheme="majorEastAsia" w:eastAsiaTheme="majorEastAsia"/>
          <w:sz w:val="30"/>
          <w:szCs w:val="30"/>
          <w:u w:val="single"/>
          <w:lang w:val="en-US" w:eastAsia="zh-CN"/>
        </w:rPr>
        <w:t>徐涛</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cs="仿宋" w:asciiTheme="majorEastAsia" w:hAnsiTheme="majorEastAsia" w:eastAsiaTheme="majorEastAsia"/>
          <w:sz w:val="30"/>
          <w:szCs w:val="30"/>
          <w:u w:val="single"/>
          <w:lang w:val="en-US" w:eastAsia="zh-CN"/>
        </w:rPr>
        <w:t>18208418291</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6AA4B770">
      <w:pPr>
        <w:widowControl/>
        <w:spacing w:after="240"/>
        <w:ind w:left="282" w:leftChars="19" w:hanging="240" w:hangingChars="100"/>
        <w:jc w:val="right"/>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G6002贵阳环城高速公路扩容工程土建工程T10合同段</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7A54D97">
      <w:pPr>
        <w:widowControl/>
        <w:spacing w:after="240"/>
        <w:jc w:val="both"/>
        <w:rPr>
          <w:rFonts w:hint="eastAsia" w:ascii="方正细等线简体" w:hAnsi="方正细等线简体" w:eastAsia="方正细等线简体" w:cs="方正细等线简体"/>
          <w:sz w:val="24"/>
          <w:szCs w:val="24"/>
          <w:lang w:val="en-US"/>
        </w:rPr>
      </w:pPr>
      <w:bookmarkStart w:id="1" w:name="_GoBack"/>
      <w:bookmarkEnd w:id="1"/>
      <w:bookmarkStart w:id="0" w:name="2"/>
      <w:bookmarkEnd w:id="0"/>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3A85635"/>
    <w:rsid w:val="04FC6AE0"/>
    <w:rsid w:val="065603EF"/>
    <w:rsid w:val="0731661F"/>
    <w:rsid w:val="09DA7C5D"/>
    <w:rsid w:val="0D160430"/>
    <w:rsid w:val="0EDF2C71"/>
    <w:rsid w:val="0FF7658A"/>
    <w:rsid w:val="11150F9A"/>
    <w:rsid w:val="111559BB"/>
    <w:rsid w:val="11904EE0"/>
    <w:rsid w:val="13D67BDF"/>
    <w:rsid w:val="14025B64"/>
    <w:rsid w:val="14165EB9"/>
    <w:rsid w:val="185A23C8"/>
    <w:rsid w:val="190534E3"/>
    <w:rsid w:val="1A846A10"/>
    <w:rsid w:val="1CAC0E41"/>
    <w:rsid w:val="1F6C2AD5"/>
    <w:rsid w:val="1FB43D8C"/>
    <w:rsid w:val="21E6458E"/>
    <w:rsid w:val="22E86597"/>
    <w:rsid w:val="23D64892"/>
    <w:rsid w:val="249C3453"/>
    <w:rsid w:val="27FB21B9"/>
    <w:rsid w:val="288B4C90"/>
    <w:rsid w:val="2B4753C7"/>
    <w:rsid w:val="32984D6D"/>
    <w:rsid w:val="32A976D5"/>
    <w:rsid w:val="3316116C"/>
    <w:rsid w:val="331E5656"/>
    <w:rsid w:val="38B7004D"/>
    <w:rsid w:val="39232473"/>
    <w:rsid w:val="3A46388D"/>
    <w:rsid w:val="3AA52853"/>
    <w:rsid w:val="3AAD3AE0"/>
    <w:rsid w:val="3F483E7A"/>
    <w:rsid w:val="42530910"/>
    <w:rsid w:val="42DF7133"/>
    <w:rsid w:val="4CCE79E7"/>
    <w:rsid w:val="4D7D66E2"/>
    <w:rsid w:val="51246DFA"/>
    <w:rsid w:val="51634335"/>
    <w:rsid w:val="53203783"/>
    <w:rsid w:val="53FF655F"/>
    <w:rsid w:val="557C54F7"/>
    <w:rsid w:val="57C2639A"/>
    <w:rsid w:val="58035493"/>
    <w:rsid w:val="599E665F"/>
    <w:rsid w:val="5A2E1258"/>
    <w:rsid w:val="5A471F83"/>
    <w:rsid w:val="5A9D30EE"/>
    <w:rsid w:val="5AD977BF"/>
    <w:rsid w:val="5D205433"/>
    <w:rsid w:val="5EA07A3E"/>
    <w:rsid w:val="5F8C42AC"/>
    <w:rsid w:val="60E64E61"/>
    <w:rsid w:val="63895709"/>
    <w:rsid w:val="64481875"/>
    <w:rsid w:val="689E24F1"/>
    <w:rsid w:val="6C860354"/>
    <w:rsid w:val="6DDB17B3"/>
    <w:rsid w:val="6E4B1D30"/>
    <w:rsid w:val="712358FE"/>
    <w:rsid w:val="73E05576"/>
    <w:rsid w:val="764B0235"/>
    <w:rsid w:val="7B450E77"/>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1012</Words>
  <Characters>1193</Characters>
  <Lines>45</Lines>
  <Paragraphs>12</Paragraphs>
  <TotalTime>49</TotalTime>
  <ScaleCrop>false</ScaleCrop>
  <LinksUpToDate>false</LinksUpToDate>
  <CharactersWithSpaces>1367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2026-07-23T08:41:12Z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