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A42A">
      <w:pPr>
        <w:spacing w:line="440" w:lineRule="exact"/>
        <w:jc w:val="center"/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</w:pPr>
      <w:bookmarkStart w:id="0" w:name="_Toc8483_WPSOffice_Level1"/>
      <w:bookmarkStart w:id="1" w:name="_Toc28134_WPSOffice_Level1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贵州省贵阳公路管理局2026年第一批灾害治理类工程劳务合作单位</w:t>
      </w:r>
    </w:p>
    <w:p w14:paraId="2CD8CAC5">
      <w:pPr>
        <w:spacing w:line="440" w:lineRule="exact"/>
        <w:jc w:val="center"/>
        <w:rPr>
          <w:rFonts w:ascii="Times New Roman" w:hAnsi="Times New Roman" w:eastAsia="黑体"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eastAsia="zh-CN"/>
        </w:rPr>
        <w:t>谈判采购</w:t>
      </w:r>
      <w:r>
        <w:rPr>
          <w:rFonts w:ascii="Times New Roman" w:hAnsi="Times New Roman" w:eastAsia="黑体"/>
          <w:color w:val="auto"/>
          <w:sz w:val="28"/>
          <w:highlight w:val="none"/>
        </w:rPr>
        <w:t>公告</w:t>
      </w:r>
      <w:bookmarkEnd w:id="0"/>
      <w:bookmarkEnd w:id="1"/>
    </w:p>
    <w:p w14:paraId="7CFCC11B">
      <w:pPr>
        <w:pStyle w:val="7"/>
        <w:spacing w:before="0" w:after="0"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u w:val="single"/>
          <w:lang w:eastAsia="zh-CN"/>
        </w:rPr>
      </w:pPr>
    </w:p>
    <w:p w14:paraId="517D902A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贵州省贵阳公路管理局2026年第一批灾害治理类工程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施工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招标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已由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黔南公路建设养护有限公司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且施工承包合同已签订，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%，工程劳务合作单位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黔南公路建设养护有限公司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采购代理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贵州建养公路技术咨询有限公司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贵州省贵阳公路管理局2026年第一批灾害治理类工程劳务合作单位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（以下简称本项目）进行公开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31238"/>
      <w:bookmarkStart w:id="3" w:name="_Toc13506"/>
      <w:bookmarkStart w:id="4" w:name="_Toc6663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spacing w:line="400" w:lineRule="exact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贵州省贵阳公路管理局2026年第一批灾害治理类工程劳务合作单位</w:t>
      </w:r>
    </w:p>
    <w:p w14:paraId="17336655">
      <w:pPr>
        <w:spacing w:line="400" w:lineRule="exact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黔南公路建设养护有限公司</w:t>
      </w:r>
    </w:p>
    <w:p w14:paraId="3A0F31DE">
      <w:pPr>
        <w:spacing w:line="400" w:lineRule="exact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spacing w:line="400" w:lineRule="exact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6822C62C">
      <w:pPr>
        <w:spacing w:line="400" w:lineRule="exact"/>
        <w:ind w:firstLine="422" w:firstLineChars="200"/>
        <w:rPr>
          <w:rFonts w:hint="default"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概况：</w:t>
      </w:r>
    </w:p>
    <w:p w14:paraId="0F313270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  <w:lang w:val="en-US" w:eastAsia="zh-CN"/>
        </w:rPr>
        <w:t>开阳段涉及3个病害路段，均为当地重要交通通道，受降雨影响出现多种路基、边坡病害，存在不同等级安全隐患，需及时治理。具体如下：</w:t>
      </w:r>
    </w:p>
    <w:p w14:paraId="09BD4C1C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</w:t>
      </w:r>
      <w:r>
        <w:rPr>
          <w:rFonts w:ascii="Times New Roman" w:hAns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）</w:t>
      </w:r>
      <w:r>
        <w:rPr>
          <w:rFonts w:ascii="Times New Roman" w:hAnsi="Times New Roman"/>
          <w:color w:val="auto"/>
          <w:highlight w:val="none"/>
          <w:lang w:val="en-US" w:eastAsia="zh-CN"/>
        </w:rPr>
        <w:t xml:space="preserve"> S308线K58+680～K58+720段：四级公路，路基宽7.5m、路面宽6.5m（沥青混凝土），为金中镇至开阳县城重要通道；左侧边坡存在崩塌隐患，风险长度40m，风险等级二级（较大），遇强降雨隐患加剧，影响公路运行安全。</w:t>
      </w:r>
    </w:p>
    <w:p w14:paraId="6AB212FC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（2）</w:t>
      </w:r>
      <w:r>
        <w:rPr>
          <w:rFonts w:ascii="Times New Roman" w:hAnsi="Times New Roman"/>
          <w:color w:val="auto"/>
          <w:highlight w:val="none"/>
          <w:lang w:val="en-US" w:eastAsia="zh-CN"/>
        </w:rPr>
        <w:t xml:space="preserve"> S308线K58+780～K58+900段：与上述路段路况一致，右侧路基出现开裂、沉陷，风险长度120m，风险等级二级（较大），存在继续沉陷隐患，威胁过往车辆通行安全。</w:t>
      </w:r>
    </w:p>
    <w:p w14:paraId="4E8D18BF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（3）</w:t>
      </w:r>
      <w:r>
        <w:rPr>
          <w:rFonts w:ascii="Times New Roman" w:hAnsi="Times New Roman"/>
          <w:color w:val="auto"/>
          <w:highlight w:val="none"/>
          <w:lang w:val="en-US" w:eastAsia="zh-CN"/>
        </w:rPr>
        <w:t xml:space="preserve"> S102线K80+120～K80+260段：四级公路，路面宽6.5m，为南龙乡至花梨镇重要交通要道；路基路面下沉开裂、路肩断裂、挡墙局部鼓胀开裂，左侧路基存在沉降滑坡隐患，沿途有房屋分布，严重威胁过往车辆及行人生命财产安全。</w:t>
      </w:r>
    </w:p>
    <w:p w14:paraId="22944B50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  <w:lang w:val="en-US" w:eastAsia="zh-CN"/>
        </w:rPr>
        <w:t>清镇段涉及3个路段、多个病害工点，均为区域重要交通要道，车流量较大，病害已影响通行安全，需及时治理。具体如下：</w:t>
      </w:r>
    </w:p>
    <w:p w14:paraId="4C136816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</w:t>
      </w:r>
      <w:r>
        <w:rPr>
          <w:rFonts w:ascii="Times New Roman" w:hAns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）</w:t>
      </w:r>
      <w:r>
        <w:rPr>
          <w:rFonts w:ascii="Times New Roman" w:hAnsi="Times New Roman"/>
          <w:color w:val="auto"/>
          <w:highlight w:val="none"/>
          <w:lang w:val="en-US" w:eastAsia="zh-CN"/>
        </w:rPr>
        <w:t>G320线K2172+705～K2173+205段：路基宽8.5m，设计时速40km/h，为清镇市与平坝县重要连接通道；该段为低填路基，K2172+753处通道涵台身外移、变形开裂，路基沉陷、开裂，护肩鼓胀开裂，存在较大安全隐患。</w:t>
      </w:r>
    </w:p>
    <w:p w14:paraId="603C785F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（2）S</w:t>
      </w:r>
      <w:r>
        <w:rPr>
          <w:rFonts w:ascii="Times New Roman" w:hAnsi="Times New Roman"/>
          <w:color w:val="auto"/>
          <w:highlight w:val="none"/>
          <w:lang w:val="en-US" w:eastAsia="zh-CN"/>
        </w:rPr>
        <w:t>211线K107+940～K108+200段、K125+430～K125+530段：二级公路，路基宽8.5m（沥青路面），设计时速40km/h，为附近乡镇、村寨重要交通要道，车流量大；受雨季影响，出现路基沉陷、滑移及边坡崩塌、滑塌等病害，影响行车安全。</w:t>
      </w:r>
    </w:p>
    <w:p w14:paraId="58C3DD9B">
      <w:pPr>
        <w:spacing w:line="400" w:lineRule="exact"/>
        <w:ind w:firstLine="420" w:firstLineChars="200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（3）</w:t>
      </w:r>
      <w:r>
        <w:rPr>
          <w:rFonts w:ascii="Times New Roman" w:hAnsi="Times New Roman"/>
          <w:color w:val="auto"/>
          <w:highlight w:val="none"/>
          <w:lang w:val="en-US" w:eastAsia="zh-CN"/>
        </w:rPr>
        <w:t>S106线K61+460～K61+605段等5个工点：四级公路，路基宽7.5m，为清镇与织金重要连接通道，途经多个乡镇，车流量大；主要病害为路基沉降、路面开裂、路肩墙垮塌、边坡崩塌及落石，风险等级涵盖二级（较大）、三级（一般）、四级（低），存在继续变形及安全隐患。</w:t>
      </w:r>
    </w:p>
    <w:p w14:paraId="49DBBB4C">
      <w:pPr>
        <w:spacing w:line="40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4"/>
          <w:highlight w:val="none"/>
          <w:lang w:eastAsia="zh-CN"/>
        </w:rPr>
      </w:pPr>
      <w:r>
        <w:rPr>
          <w:rFonts w:ascii="Times New Roman" w:hAnsi="Times New Roman"/>
          <w:color w:val="auto"/>
          <w:highlight w:val="none"/>
          <w:lang w:val="en-US" w:eastAsia="zh-CN"/>
        </w:rPr>
        <w:t>修文段涉及G212线K1762+075～K1783+390段，为二级公路，路基宽10.5m（沥青路面），位于修文县至六广镇之间，是区域重要交通路段；边坡下部交通流量大，受近期雨季影响，多处出现路基沉降、崩塌、落石等病害，共5个工点，风险长度合计770m，风险等级涵盖二级（较大）、三级（一般）、四级（低），严重威胁过往车辆及行人生命财产安全，若发生崩塌易造成公路断交，增加出行成本及后期治理难度，治理工作紧迫且必要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24107"/>
      <w:bookmarkStart w:id="6" w:name="_Toc8483_WPSOffice_Level3"/>
      <w:bookmarkStart w:id="7" w:name="_Toc7764"/>
      <w:bookmarkStart w:id="8" w:name="_Toc21047"/>
      <w:bookmarkStart w:id="9" w:name="_Toc3135"/>
      <w:bookmarkStart w:id="10" w:name="_Toc10095"/>
      <w:bookmarkStart w:id="11" w:name="_Toc9210"/>
      <w:bookmarkStart w:id="12" w:name="_Toc26240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spacing w:line="400" w:lineRule="exact"/>
        <w:ind w:firstLine="422" w:firstLineChars="200"/>
        <w:rPr>
          <w:rFonts w:hint="default" w:ascii="Times New Roman" w:hAnsi="Times New Roman"/>
          <w:color w:val="auto"/>
          <w:highlight w:val="yellow"/>
          <w:u w:val="none"/>
          <w:lang w:val="en-US" w:eastAsia="zh-CN"/>
        </w:rPr>
      </w:pPr>
      <w:r>
        <w:rPr>
          <w:rFonts w:ascii="Times New Roman" w:hAnsi="Times New Roman"/>
          <w:b/>
          <w:bCs/>
          <w:color w:val="auto"/>
          <w:highlight w:val="none"/>
        </w:rPr>
        <w:t>2.1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本次采购范围为工程施工劳务合作，中标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adjustRightInd w:val="0"/>
        <w:snapToGrid w:val="0"/>
        <w:spacing w:line="400" w:lineRule="exact"/>
        <w:ind w:firstLine="422" w:firstLineChars="200"/>
        <w:rPr>
          <w:rFonts w:hint="default"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>.2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4"/>
          <w:highlight w:val="none"/>
          <w:lang w:val="en-US" w:eastAsia="zh-CN"/>
        </w:rPr>
        <w:t>计划工期</w:t>
      </w:r>
      <w:r>
        <w:rPr>
          <w:rFonts w:hint="default" w:ascii="Times New Roman" w:hAnsi="Times New Roman"/>
          <w:color w:val="auto"/>
          <w:szCs w:val="24"/>
          <w:highlight w:val="none"/>
        </w:rPr>
        <w:t>：</w:t>
      </w:r>
      <w:r>
        <w:rPr>
          <w:rFonts w:hint="eastAsia" w:ascii="Times New Roman" w:hAnsi="Times New Roman"/>
          <w:color w:val="auto"/>
          <w:szCs w:val="24"/>
          <w:highlight w:val="none"/>
          <w:u w:val="single"/>
          <w:lang w:val="en-US" w:eastAsia="zh-CN"/>
        </w:rPr>
        <w:t>270日历天</w:t>
      </w:r>
      <w:r>
        <w:rPr>
          <w:rFonts w:hint="default" w:ascii="Times New Roman" w:hAnsi="Times New Roman"/>
          <w:color w:val="auto"/>
          <w:szCs w:val="24"/>
          <w:highlight w:val="none"/>
        </w:rPr>
        <w:t>。</w:t>
      </w:r>
    </w:p>
    <w:p w14:paraId="50787ED6">
      <w:pPr>
        <w:spacing w:line="400" w:lineRule="exact"/>
        <w:ind w:firstLine="422" w:firstLineChars="200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质量要求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33E2F35D">
      <w:pPr>
        <w:rPr>
          <w:rFonts w:hint="default" w:ascii="Times New Roman" w:hAnsi="Times New Roman"/>
          <w:b/>
          <w:bCs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br w:type="page"/>
      </w:r>
    </w:p>
    <w:p w14:paraId="26D51387">
      <w:pPr>
        <w:spacing w:line="400" w:lineRule="exact"/>
        <w:ind w:firstLine="420" w:firstLineChars="0"/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2.6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highlight w:val="none"/>
          <w:u w:val="none"/>
        </w:rPr>
        <w:t>标段划分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/>
          <w:color w:val="auto"/>
          <w:highlight w:val="none"/>
          <w:u w:val="none"/>
        </w:rPr>
        <w:t>本次</w:t>
      </w:r>
      <w:r>
        <w:rPr>
          <w:rFonts w:hint="eastAsia" w:ascii="Times New Roman" w:hAnsi="Times New Roman"/>
          <w:color w:val="auto"/>
          <w:highlight w:val="none"/>
          <w:u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u w:val="none"/>
        </w:rPr>
        <w:t>共划分为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三个</w:t>
      </w:r>
      <w:r>
        <w:rPr>
          <w:rFonts w:hint="default" w:ascii="Times New Roman" w:hAnsi="Times New Roman"/>
          <w:color w:val="auto"/>
          <w:highlight w:val="none"/>
          <w:u w:val="single"/>
        </w:rPr>
        <w:t>标段</w:t>
      </w:r>
      <w:r>
        <w:rPr>
          <w:rFonts w:hint="eastAsia" w:ascii="Times New Roman" w:hAnsi="Times New Roman"/>
          <w:color w:val="auto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具体如下：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45"/>
        <w:gridCol w:w="2933"/>
        <w:gridCol w:w="2412"/>
      </w:tblGrid>
      <w:tr w14:paraId="2A7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6" w:type="dxa"/>
            <w:noWrap w:val="0"/>
            <w:vAlign w:val="center"/>
          </w:tcPr>
          <w:p w14:paraId="1A884EE0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45" w:type="dxa"/>
            <w:noWrap w:val="0"/>
            <w:vAlign w:val="center"/>
          </w:tcPr>
          <w:p w14:paraId="4DA20B88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933" w:type="dxa"/>
            <w:noWrap w:val="0"/>
            <w:vAlign w:val="center"/>
          </w:tcPr>
          <w:p w14:paraId="25FBBFF8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段落区域</w:t>
            </w:r>
          </w:p>
        </w:tc>
        <w:tc>
          <w:tcPr>
            <w:tcW w:w="2412" w:type="dxa"/>
            <w:noWrap w:val="0"/>
            <w:vAlign w:val="center"/>
          </w:tcPr>
          <w:p w14:paraId="118868F6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0F52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6" w:type="dxa"/>
            <w:noWrap w:val="0"/>
            <w:vAlign w:val="center"/>
          </w:tcPr>
          <w:p w14:paraId="6F3025EE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45" w:type="dxa"/>
            <w:noWrap w:val="0"/>
            <w:vAlign w:val="center"/>
          </w:tcPr>
          <w:p w14:paraId="1E231890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LWHZ-1</w:t>
            </w:r>
          </w:p>
        </w:tc>
        <w:tc>
          <w:tcPr>
            <w:tcW w:w="2933" w:type="dxa"/>
            <w:noWrap w:val="0"/>
            <w:vAlign w:val="center"/>
          </w:tcPr>
          <w:p w14:paraId="26A3A594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开阳段（ S308 线 K58+680～K58+720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S308 线 K58+780～K58+900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S102 线 K80+120～K80+260）</w:t>
            </w:r>
          </w:p>
        </w:tc>
        <w:tc>
          <w:tcPr>
            <w:tcW w:w="2412" w:type="dxa"/>
            <w:noWrap w:val="0"/>
            <w:vAlign w:val="center"/>
          </w:tcPr>
          <w:p w14:paraId="2764A07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劳务合作</w:t>
            </w:r>
          </w:p>
        </w:tc>
      </w:tr>
      <w:tr w14:paraId="2B1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6" w:type="dxa"/>
            <w:noWrap w:val="0"/>
            <w:vAlign w:val="center"/>
          </w:tcPr>
          <w:p w14:paraId="4F3DBB8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45" w:type="dxa"/>
            <w:noWrap w:val="0"/>
            <w:vAlign w:val="center"/>
          </w:tcPr>
          <w:p w14:paraId="78EDEF61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LWHZ-2</w:t>
            </w:r>
          </w:p>
        </w:tc>
        <w:tc>
          <w:tcPr>
            <w:tcW w:w="2933" w:type="dxa"/>
            <w:noWrap w:val="0"/>
            <w:vAlign w:val="center"/>
          </w:tcPr>
          <w:p w14:paraId="30B36207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清镇段（G320 线 K2172+705～K2173+205、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211 线 K107+940～K108+200、</w:t>
            </w:r>
            <w:bookmarkStart w:id="49" w:name="_GoBack"/>
            <w:bookmarkEnd w:id="49"/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G211 线 K125+430～K125+530、S106 线 K61+460～K61+605）</w:t>
            </w:r>
          </w:p>
        </w:tc>
        <w:tc>
          <w:tcPr>
            <w:tcW w:w="2412" w:type="dxa"/>
            <w:noWrap w:val="0"/>
            <w:vAlign w:val="center"/>
          </w:tcPr>
          <w:p w14:paraId="214AD392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劳务合作</w:t>
            </w:r>
          </w:p>
        </w:tc>
      </w:tr>
      <w:tr w14:paraId="7E23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6" w:type="dxa"/>
            <w:noWrap w:val="0"/>
            <w:vAlign w:val="center"/>
          </w:tcPr>
          <w:p w14:paraId="27C99F66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45" w:type="dxa"/>
            <w:noWrap w:val="0"/>
            <w:vAlign w:val="center"/>
          </w:tcPr>
          <w:p w14:paraId="727210B5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LWHZ-3</w:t>
            </w:r>
          </w:p>
        </w:tc>
        <w:tc>
          <w:tcPr>
            <w:tcW w:w="2933" w:type="dxa"/>
            <w:noWrap w:val="0"/>
            <w:vAlign w:val="center"/>
          </w:tcPr>
          <w:p w14:paraId="013E95FD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修文段（G212 线 K1762+075～K1783+390）</w:t>
            </w:r>
          </w:p>
        </w:tc>
        <w:tc>
          <w:tcPr>
            <w:tcW w:w="2412" w:type="dxa"/>
            <w:shd w:val="clear" w:color="auto" w:fill="auto"/>
            <w:noWrap w:val="0"/>
            <w:vAlign w:val="center"/>
          </w:tcPr>
          <w:p w14:paraId="60D0A20B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劳务合作</w:t>
            </w:r>
          </w:p>
        </w:tc>
      </w:tr>
    </w:tbl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供应商对多个标段同时投标响应的，应分别提交投标响应文件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</w:rPr>
        <w:t>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中标（成交）候选人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23565757">
      <w:pPr>
        <w:pStyle w:val="4"/>
        <w:rPr>
          <w:rFonts w:hint="default"/>
          <w:lang w:val="en-US" w:eastAsia="zh-CN"/>
        </w:rPr>
      </w:pP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9400"/>
      <w:bookmarkStart w:id="15" w:name="_Toc17603_WPSOffice_Level3"/>
      <w:bookmarkStart w:id="16" w:name="_Toc1169"/>
      <w:bookmarkStart w:id="17" w:name="_Toc1988"/>
      <w:bookmarkStart w:id="18" w:name="_Toc77"/>
      <w:bookmarkStart w:id="19" w:name="_Toc8523"/>
      <w:bookmarkStart w:id="20" w:name="_Toc31415"/>
      <w:bookmarkStart w:id="21" w:name="_Toc7070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2197305">
      <w:pPr>
        <w:spacing w:line="400" w:lineRule="exact"/>
        <w:ind w:firstLine="422" w:firstLineChars="20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>3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.1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2"/>
          <w:highlight w:val="none"/>
        </w:rPr>
        <w:t>应依法设立且满足如下要求</w:t>
      </w:r>
      <w:r>
        <w:rPr>
          <w:rFonts w:ascii="Times New Roman" w:hAnsi="Times New Roman"/>
          <w:color w:val="auto"/>
          <w:szCs w:val="22"/>
          <w:highlight w:val="none"/>
        </w:rPr>
        <w:t>：</w:t>
      </w:r>
    </w:p>
    <w:p w14:paraId="288323DC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/>
          <w:szCs w:val="22"/>
          <w:highlight w:val="none"/>
        </w:rPr>
        <w:t>（1）资质要求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：①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应为中华人民共和国境内具有独立法人资格，持有合法有效的企业法人营业执照（提供营业执照扫描件）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，有企业基本账户（提供开户许可证或基本存款帐户信息）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；</w:t>
      </w:r>
    </w:p>
    <w:p w14:paraId="41AA0FAC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②具有建设行政主管部门核发的《施工劳务企业资质证书》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或取得企业工商注册所在地市（州）级及以上住房城乡建设主管部门颁发的施工劳务备案证明）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安全生产许可证（提供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有效期内的的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证书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扫描件）；</w:t>
      </w:r>
    </w:p>
    <w:p w14:paraId="34FBC679">
      <w:pPr>
        <w:spacing w:line="400" w:lineRule="exact"/>
        <w:ind w:firstLine="315" w:firstLineChars="150"/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一级劳务队伍库内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供应商为合格的集团一级劳务队伍库内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。</w:t>
      </w:r>
    </w:p>
    <w:p w14:paraId="2CA322A2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szCs w:val="22"/>
          <w:highlight w:val="none"/>
        </w:rPr>
        <w:t>（2）财务要求：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不要求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7D85C0D">
      <w:pPr>
        <w:spacing w:line="400" w:lineRule="exact"/>
        <w:ind w:firstLine="315" w:firstLineChars="150"/>
        <w:rPr>
          <w:rFonts w:ascii="Times New Roman" w:hAnsi="Times New Roman"/>
          <w:szCs w:val="22"/>
          <w:highlight w:val="none"/>
        </w:rPr>
      </w:pPr>
      <w:r>
        <w:rPr>
          <w:rFonts w:ascii="Times New Roman" w:hAnsi="Times New Roman"/>
          <w:szCs w:val="22"/>
          <w:highlight w:val="none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6342D3D0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color w:val="auto"/>
          <w:szCs w:val="22"/>
          <w:highlight w:val="none"/>
        </w:rPr>
        <w:t>（4）信誉要求：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①参加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  <w:lang w:eastAsia="zh-CN"/>
        </w:rPr>
        <w:t>活动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前3年内在经营活动中没有重大违法记录的书面声明（自行承诺）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A38DB77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②在“信用中国”网站中未被列入严重失信主体名单、重大税收违法失信主体 （须提供“信用中国”网站查询结果网页截图）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4BC0B065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Cs w:val="22"/>
          <w:highlight w:val="none"/>
        </w:rPr>
        <w:t>（5）承担本项目的主要人员要求：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现场负责人，1人，具有公路施工（或施工劳务）现场管理工作经验（提供合同协议书或总包单位/业主单位出具的证明文件）</w:t>
      </w:r>
      <w:r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  <w:t>。</w:t>
      </w:r>
    </w:p>
    <w:p w14:paraId="3EDCE627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color w:val="auto"/>
          <w:szCs w:val="22"/>
          <w:highlight w:val="none"/>
        </w:rPr>
        <w:t>（6）其他要求：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具有履行合同所必需的设备和专业技术能力（自行承诺）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加盖单位公章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2C7A90F3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1"/>
          <w:highlight w:val="none"/>
        </w:rPr>
        <w:t>3.2</w:t>
      </w:r>
      <w:r>
        <w:rPr>
          <w:rFonts w:ascii="Times New Roman" w:hAnsi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</w:rPr>
        <w:t>不得存在下列情形之一：</w:t>
      </w:r>
    </w:p>
    <w:p w14:paraId="6805370B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color w:val="auto"/>
          <w:szCs w:val="21"/>
          <w:highlight w:val="none"/>
        </w:rPr>
        <w:t>（</w:t>
      </w:r>
      <w:r>
        <w:rPr>
          <w:rFonts w:ascii="Times New Roman" w:hAnsi="Times New Roman"/>
          <w:color w:val="auto"/>
          <w:szCs w:val="21"/>
          <w:highlight w:val="non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69E4C9AF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2</w:t>
      </w:r>
      <w:r>
        <w:rPr>
          <w:rFonts w:ascii="Times New Roman" w:hAnsi="Times New Roman"/>
          <w:color w:val="auto"/>
          <w:szCs w:val="21"/>
          <w:highlight w:val="non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55CFE3DD">
      <w:pPr>
        <w:spacing w:line="400" w:lineRule="exact"/>
        <w:ind w:firstLine="420" w:firstLineChars="200"/>
        <w:rPr>
          <w:rFonts w:hint="default" w:ascii="Times New Roman" w:hAnsi="Times New Roman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3</w:t>
      </w:r>
      <w:r>
        <w:rPr>
          <w:rFonts w:ascii="Times New Roman" w:hAnsi="Times New Roman"/>
          <w:color w:val="auto"/>
          <w:szCs w:val="21"/>
          <w:highlight w:val="non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</w:rPr>
        <w:t>其他：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月1日起）未发生任何行贿犯罪行为（自行承诺）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0C5C3808">
      <w:pPr>
        <w:spacing w:line="400" w:lineRule="exact"/>
        <w:ind w:firstLine="422" w:firstLineChars="200"/>
        <w:jc w:val="left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b/>
          <w:bCs/>
          <w:color w:val="auto"/>
          <w:szCs w:val="22"/>
          <w:highlight w:val="none"/>
        </w:rPr>
        <w:t>3.3</w:t>
      </w:r>
      <w:r>
        <w:rPr>
          <w:rFonts w:hint="default" w:ascii="Times New Roman" w:hAnsi="Times New Roman"/>
          <w:color w:val="auto"/>
          <w:szCs w:val="22"/>
          <w:highlight w:val="none"/>
        </w:rPr>
        <w:t xml:space="preserve"> 本次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不接受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szCs w:val="22"/>
          <w:highlight w:val="none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24146"/>
      <w:bookmarkStart w:id="23" w:name="_Toc3648"/>
      <w:bookmarkStart w:id="24" w:name="_Toc1390"/>
      <w:bookmarkStart w:id="25" w:name="_Toc22751"/>
      <w:bookmarkStart w:id="26" w:name="_Toc8068"/>
      <w:bookmarkStart w:id="27" w:name="_Toc10014_WPSOffice_Level3"/>
      <w:bookmarkStart w:id="28" w:name="_Toc9984"/>
      <w:bookmarkStart w:id="29" w:name="_Toc28480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76412B"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firstLine="440" w:firstLineChars="200"/>
        <w:textAlignment w:val="auto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</w:pPr>
      <w:bookmarkStart w:id="30" w:name="_Toc10035"/>
      <w:bookmarkStart w:id="31" w:name="_Toc18186_WPSOffice_Level3"/>
      <w:bookmarkStart w:id="32" w:name="_Toc21913"/>
      <w:bookmarkStart w:id="33" w:name="_Toc24628"/>
      <w:bookmarkStart w:id="34" w:name="_Toc23613"/>
      <w:bookmarkStart w:id="35" w:name="_Toc9020"/>
      <w:bookmarkStart w:id="36" w:name="_Toc31973"/>
      <w:r>
        <w:rPr>
          <w:rFonts w:hint="eastAsia" w:ascii="Times New Roman" w:hAnsi="Times New Roman"/>
          <w:szCs w:val="22"/>
          <w:highlight w:val="none"/>
          <w:lang w:bidi="ar"/>
        </w:rPr>
        <w:t>凡有意参加本次采购活动的，请于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202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6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年</w:t>
      </w:r>
      <w:r>
        <w:rPr>
          <w:rFonts w:hint="eastAsia" w:ascii="Times New Roman" w:hAnsi="Times New Roman" w:eastAsia="宋体"/>
          <w:szCs w:val="22"/>
          <w:highlight w:val="none"/>
          <w:u w:val="single"/>
          <w:lang w:val="en-US" w:eastAsia="zh-CN" w:bidi="ar"/>
        </w:rPr>
        <w:t>4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月</w:t>
      </w:r>
      <w:r>
        <w:rPr>
          <w:rFonts w:hint="eastAsia" w:ascii="Times New Roman" w:hAnsi="Times New Roman" w:eastAsia="宋体"/>
          <w:szCs w:val="22"/>
          <w:highlight w:val="none"/>
          <w:u w:val="single"/>
          <w:lang w:val="en-US" w:eastAsia="zh-CN" w:bidi="ar"/>
        </w:rPr>
        <w:t>1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日至202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6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年</w:t>
      </w:r>
      <w:r>
        <w:rPr>
          <w:rFonts w:hint="eastAsia" w:ascii="Times New Roman" w:hAnsi="Times New Roman" w:eastAsia="宋体"/>
          <w:szCs w:val="22"/>
          <w:highlight w:val="none"/>
          <w:u w:val="single"/>
          <w:lang w:val="en-US" w:eastAsia="zh-CN" w:bidi="ar"/>
        </w:rPr>
        <w:t>4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月</w:t>
      </w:r>
      <w:r>
        <w:rPr>
          <w:rFonts w:hint="eastAsia" w:ascii="Times New Roman" w:hAnsi="Times New Roman" w:eastAsia="宋体"/>
          <w:szCs w:val="22"/>
          <w:highlight w:val="none"/>
          <w:u w:val="single"/>
          <w:lang w:val="en-US" w:eastAsia="zh-CN" w:bidi="ar"/>
        </w:rPr>
        <w:t>3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日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每日上午9:00至12:00时，下午13:30至17:00时</w:t>
      </w:r>
      <w:r>
        <w:rPr>
          <w:rFonts w:hint="eastAsia" w:ascii="Times New Roman" w:hAnsi="Times New Roman"/>
          <w:szCs w:val="22"/>
          <w:highlight w:val="none"/>
          <w:lang w:bidi="ar"/>
        </w:rPr>
        <w:t>（北京时间）在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贵州省贵阳市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花溪大道中段12号贵州建养公路技术咨询有限公司招标服务中心201办公室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，</w:t>
      </w:r>
      <w:r>
        <w:rPr>
          <w:rFonts w:hint="eastAsia" w:ascii="Times New Roman" w:hAnsi="Times New Roman"/>
          <w:szCs w:val="22"/>
          <w:highlight w:val="none"/>
          <w:lang w:bidi="ar"/>
        </w:rPr>
        <w:t>持盖单位章的营业执照、授权委托书或法人身份证明(授权委托书或法人身份证明应载有单位信息，经办人员的姓名、身份证、电话、邮箱等信息)及经办人身份证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原件</w:t>
      </w:r>
      <w:r>
        <w:rPr>
          <w:rFonts w:hint="eastAsia" w:ascii="Times New Roman" w:hAnsi="Times New Roman"/>
          <w:szCs w:val="22"/>
          <w:highlight w:val="none"/>
          <w:lang w:bidi="ar"/>
        </w:rPr>
        <w:t>领取采购文件。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采购代理工作人员</w:t>
      </w:r>
      <w:r>
        <w:rPr>
          <w:rFonts w:hint="eastAsia" w:ascii="Times New Roman" w:hAnsi="Times New Roman"/>
          <w:szCs w:val="22"/>
          <w:highlight w:val="none"/>
          <w:lang w:bidi="ar"/>
        </w:rPr>
        <w:t>审核资料合格后，现场发放采购文件。</w:t>
      </w:r>
      <w:bookmarkStart w:id="37" w:name="_Toc16224"/>
    </w:p>
    <w:p w14:paraId="55F643BF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7"/>
    </w:p>
    <w:p w14:paraId="27CF45EB">
      <w:pPr>
        <w:spacing w:line="400" w:lineRule="exact"/>
        <w:ind w:firstLine="316" w:firstLineChars="150"/>
        <w:rPr>
          <w:rFonts w:ascii="Times New Roman" w:hAnsi="Times New Roman"/>
          <w:szCs w:val="22"/>
          <w:highlight w:val="none"/>
          <w:lang w:bidi="ar"/>
        </w:rPr>
      </w:pPr>
      <w:r>
        <w:rPr>
          <w:rFonts w:ascii="Times New Roman" w:hAnsi="Times New Roman"/>
          <w:b/>
          <w:bCs/>
          <w:szCs w:val="22"/>
          <w:highlight w:val="none"/>
          <w:lang w:bidi="ar"/>
        </w:rPr>
        <w:t xml:space="preserve">5.1 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响应文件递交的截止时间（</w:t>
      </w:r>
      <w:r>
        <w:rPr>
          <w:rFonts w:hint="eastAsia" w:ascii="Times New Roman" w:hAnsi="Times New Roman"/>
          <w:szCs w:val="22"/>
          <w:highlight w:val="none"/>
          <w:lang w:eastAsia="zh-CN" w:bidi="ar"/>
        </w:rPr>
        <w:t>投标响应</w:t>
      </w:r>
      <w:r>
        <w:rPr>
          <w:rFonts w:hint="eastAsia" w:ascii="Times New Roman" w:hAnsi="Times New Roman"/>
          <w:szCs w:val="22"/>
          <w:highlight w:val="none"/>
          <w:lang w:bidi="ar"/>
        </w:rPr>
        <w:t>截止时间，下同）为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202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6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年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4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月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7</w:t>
      </w:r>
      <w:r>
        <w:rPr>
          <w:rFonts w:hint="eastAsia" w:ascii="Times New Roman" w:hAnsi="Times New Roman"/>
          <w:szCs w:val="22"/>
          <w:highlight w:val="none"/>
          <w:u w:val="single"/>
          <w:lang w:bidi="ar"/>
        </w:rPr>
        <w:t>日 09 时 30分</w:t>
      </w:r>
      <w:r>
        <w:rPr>
          <w:rFonts w:hint="eastAsia" w:ascii="Times New Roman" w:hAnsi="Times New Roman"/>
          <w:szCs w:val="22"/>
          <w:highlight w:val="none"/>
          <w:u w:val="single"/>
          <w:lang w:eastAsia="zh-CN" w:bidi="ar"/>
        </w:rPr>
        <w:t>（</w:t>
      </w:r>
      <w:r>
        <w:rPr>
          <w:rFonts w:hint="eastAsia" w:ascii="Times New Roman" w:hAnsi="Times New Roman"/>
          <w:szCs w:val="22"/>
          <w:highlight w:val="none"/>
          <w:u w:val="single"/>
          <w:lang w:val="en-US" w:eastAsia="zh-CN" w:bidi="ar"/>
        </w:rPr>
        <w:t>供应商应提前半小时递交响应文件</w:t>
      </w:r>
      <w:r>
        <w:rPr>
          <w:rFonts w:hint="eastAsia" w:ascii="Times New Roman" w:hAnsi="Times New Roman"/>
          <w:szCs w:val="22"/>
          <w:highlight w:val="none"/>
          <w:u w:val="single"/>
          <w:lang w:eastAsia="zh-CN" w:bidi="ar"/>
        </w:rPr>
        <w:t>）</w:t>
      </w:r>
      <w:r>
        <w:rPr>
          <w:rFonts w:hint="eastAsia" w:ascii="Times New Roman" w:hAnsi="Times New Roman"/>
          <w:szCs w:val="22"/>
          <w:highlight w:val="none"/>
          <w:lang w:bidi="ar"/>
        </w:rPr>
        <w:t>，响应文件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纸质文件</w:t>
      </w:r>
      <w:r>
        <w:rPr>
          <w:rFonts w:hint="eastAsia" w:ascii="Times New Roman" w:hAnsi="Times New Roman"/>
          <w:szCs w:val="22"/>
          <w:highlight w:val="none"/>
          <w:lang w:bidi="ar"/>
        </w:rPr>
        <w:t>递交地址：贵州省贵阳市花溪大道中段12号贵州建养公路技术咨询有限公司招标服务中心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开标室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</w:p>
    <w:p w14:paraId="55F430B4">
      <w:pPr>
        <w:spacing w:before="0" w:beforeAutospacing="0" w:after="0" w:afterAutospacing="0" w:line="400" w:lineRule="exact"/>
        <w:ind w:firstLine="316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bidi="ar"/>
        </w:rPr>
      </w:pPr>
      <w:r>
        <w:rPr>
          <w:rFonts w:ascii="Times New Roman" w:hAnsi="Times New Roman"/>
          <w:b/>
          <w:bCs/>
          <w:szCs w:val="22"/>
          <w:highlight w:val="none"/>
          <w:lang w:bidi="ar"/>
        </w:rPr>
        <w:t xml:space="preserve">5.2 </w:t>
      </w:r>
      <w:r>
        <w:rPr>
          <w:rFonts w:hint="eastAsia" w:ascii="Times New Roman" w:hAnsi="Times New Roman"/>
          <w:szCs w:val="22"/>
          <w:highlight w:val="none"/>
          <w:lang w:bidi="ar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39" w:name="_Toc24262"/>
      <w:bookmarkStart w:id="40" w:name="_Toc11882"/>
      <w:bookmarkStart w:id="41" w:name="_Toc2943"/>
      <w:bookmarkStart w:id="42" w:name="_Toc26618"/>
      <w:bookmarkStart w:id="43" w:name="_Toc31656"/>
      <w:bookmarkStart w:id="44" w:name="_Toc28869_WPSOffice_Level3"/>
      <w:bookmarkStart w:id="45" w:name="_Toc23168"/>
      <w:bookmarkStart w:id="46" w:name="_Toc27050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同时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7283"/>
      <w:bookmarkStart w:id="48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3EAECA05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采购人：黔南公路建设养护有限公司</w:t>
      </w:r>
    </w:p>
    <w:p w14:paraId="69A7677B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联系地址：都匀市开发区虹桥派出所旁都匀四季商旅时尚酒店（原四季酒店）4楼</w:t>
      </w:r>
    </w:p>
    <w:p w14:paraId="600488A1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项目联系人：王工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联系电话：18685288764</w:t>
      </w:r>
    </w:p>
    <w:p w14:paraId="394A4DCB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5120327846、13628504857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E0F0944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2866AF9">
      <w:pPr>
        <w:spacing w:line="240" w:lineRule="auto"/>
        <w:jc w:val="righ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2D0767A6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21513"/>
    <w:rsid w:val="23347C42"/>
    <w:rsid w:val="2A295559"/>
    <w:rsid w:val="4AD73FE7"/>
    <w:rsid w:val="5942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3044</Words>
  <Characters>3499</Characters>
  <Lines>0</Lines>
  <Paragraphs>0</Paragraphs>
  <TotalTime>0</TotalTime>
  <ScaleCrop>false</ScaleCrop>
  <LinksUpToDate>false</LinksUpToDate>
  <CharactersWithSpaces>3564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2026-04-01T00:52:00Z</dcterms:created>
  <dc:creator>Co</dc:creator>
  <cp:lastModifiedBy>Co</cp:lastModifiedBy>
  <dcterms:modified xsi:type="dcterms:W3CDTF">2026-04-01T05:41:02Z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AAC7371F77D446B4A79798903FD8C723_11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