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贵州省公路建设养护集团有限公司综合业务用房项目</w:t>
      </w:r>
    </w:p>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地板材料供应及安装供应商公示</w:t>
      </w:r>
    </w:p>
    <w:p>
      <w:pPr>
        <w:jc w:val="center"/>
        <w:rPr>
          <w:rFonts w:hint="default" w:ascii="方正小标宋简体" w:hAnsi="方正小标宋简体" w:eastAsia="方正小标宋简体" w:cs="方正小标宋简体"/>
          <w:b/>
          <w:bCs/>
          <w:sz w:val="32"/>
          <w:szCs w:val="32"/>
          <w:lang w:val="en-US" w:eastAsia="zh-CN"/>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询价文件及贵州省公路建设养护集团有限公司关于印发工程项目物资采购管理办法规定、2024年9月14日评审情况，对贵州省公路建设养护集团有限公司综合业务用房地板材料供应及安装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推荐中标候选人名称</w:t>
            </w:r>
          </w:p>
        </w:tc>
        <w:tc>
          <w:tcPr>
            <w:tcW w:w="1933" w:type="dxa"/>
            <w:tcBorders>
              <w:top w:val="single" w:color="000000" w:sz="8" w:space="0"/>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w:t>
            </w:r>
          </w:p>
        </w:tc>
        <w:tc>
          <w:tcPr>
            <w:tcW w:w="929" w:type="dxa"/>
            <w:tcBorders>
              <w:top w:val="single" w:color="000000" w:sz="8" w:space="0"/>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vMerge w:val="restart"/>
            <w:tcBorders>
              <w:top w:val="nil"/>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第一中标候选人</w:t>
            </w:r>
          </w:p>
        </w:tc>
        <w:tc>
          <w:tcPr>
            <w:tcW w:w="3705" w:type="dxa"/>
            <w:vMerge w:val="restart"/>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sz w:val="24"/>
                <w:szCs w:val="24"/>
                <w:u w:val="none"/>
                <w:lang w:val="en-US" w:eastAsia="zh-CN"/>
              </w:rPr>
              <w:t>贵阳万泰装饰材料有限公司</w:t>
            </w:r>
          </w:p>
        </w:tc>
        <w:tc>
          <w:tcPr>
            <w:tcW w:w="19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408900.00</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仿宋" w:hAnsi="仿宋" w:eastAsia="仿宋" w:cs="仿宋"/>
                <w:b/>
                <w:bCs/>
                <w:i w:val="0"/>
                <w:iCs w:val="0"/>
                <w:color w:val="333333"/>
                <w:sz w:val="28"/>
                <w:szCs w:val="28"/>
                <w:u w:val="none"/>
                <w:lang w:val="en-US" w:eastAsia="zh-CN"/>
              </w:rPr>
            </w:pPr>
            <w:r>
              <w:rPr>
                <w:rFonts w:hint="eastAsia" w:ascii="仿宋" w:hAnsi="仿宋" w:eastAsia="仿宋" w:cs="仿宋"/>
                <w:b w:val="0"/>
                <w:bCs w:val="0"/>
                <w:i w:val="0"/>
                <w:iCs w:val="0"/>
                <w:color w:val="333333"/>
                <w:sz w:val="24"/>
                <w:szCs w:val="24"/>
                <w:u w:val="none"/>
                <w:lang w:val="en-US" w:eastAsia="zh-CN"/>
              </w:rPr>
              <w:t>厚度10mm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0"/>
                <w:sz w:val="28"/>
                <w:szCs w:val="28"/>
                <w:u w:val="none"/>
                <w:lang w:val="en-US" w:eastAsia="zh-CN" w:bidi="ar"/>
              </w:rPr>
            </w:pPr>
          </w:p>
        </w:tc>
        <w:tc>
          <w:tcPr>
            <w:tcW w:w="3705" w:type="dxa"/>
            <w:vMerge w:val="continue"/>
            <w:tcBorders>
              <w:left w:val="nil"/>
              <w:bottom w:val="single" w:color="000000" w:sz="8"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val="en-US" w:eastAsia="zh-CN"/>
              </w:rPr>
            </w:pPr>
          </w:p>
        </w:tc>
        <w:tc>
          <w:tcPr>
            <w:tcW w:w="19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441800.00</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 w:hAnsi="仿宋" w:eastAsia="仿宋" w:cs="仿宋"/>
                <w:b/>
                <w:bCs/>
                <w:i w:val="0"/>
                <w:iCs w:val="0"/>
                <w:color w:val="333333"/>
                <w:kern w:val="2"/>
                <w:sz w:val="28"/>
                <w:szCs w:val="28"/>
                <w:u w:val="none"/>
                <w:lang w:val="en-US" w:eastAsia="zh-CN" w:bidi="ar-SA"/>
              </w:rPr>
            </w:pPr>
            <w:r>
              <w:rPr>
                <w:rFonts w:hint="eastAsia" w:ascii="仿宋" w:hAnsi="仿宋" w:eastAsia="仿宋" w:cs="仿宋"/>
                <w:b w:val="0"/>
                <w:bCs w:val="0"/>
                <w:i w:val="0"/>
                <w:iCs w:val="0"/>
                <w:color w:val="333333"/>
                <w:sz w:val="24"/>
                <w:szCs w:val="24"/>
                <w:u w:val="none"/>
                <w:lang w:val="en-US" w:eastAsia="zh-CN"/>
              </w:rPr>
              <w:t>厚度12mm</w:t>
            </w:r>
          </w:p>
        </w:tc>
      </w:tr>
    </w:tbl>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w:t>
      </w:r>
      <w:bookmarkStart w:id="0" w:name="_GoBack"/>
      <w:bookmarkEnd w:id="0"/>
      <w:r>
        <w:rPr>
          <w:rFonts w:hint="eastAsia" w:ascii="仿宋" w:hAnsi="仿宋" w:eastAsia="仿宋" w:cs="仿宋"/>
          <w:color w:val="333333"/>
          <w:kern w:val="2"/>
          <w:sz w:val="28"/>
          <w:szCs w:val="28"/>
          <w:shd w:val="clear" w:color="auto" w:fill="FFFFFF"/>
          <w:lang w:val="en-US" w:eastAsia="zh-CN" w:bidi="ar-SA"/>
        </w:rPr>
        <w:t>活动。未在公示期间提出的异议，采购人不予受理。</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公示时间：2024年9月18日至2024年9月20日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2024年9月18日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
    <w:altName w:val="方正仿宋_GBK"/>
    <w:panose1 w:val="03000509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18B5235"/>
    <w:rsid w:val="02C44431"/>
    <w:rsid w:val="065B7274"/>
    <w:rsid w:val="06D031E7"/>
    <w:rsid w:val="079D3642"/>
    <w:rsid w:val="08D706D1"/>
    <w:rsid w:val="0D520CE1"/>
    <w:rsid w:val="10505C8C"/>
    <w:rsid w:val="105E77F3"/>
    <w:rsid w:val="123151B2"/>
    <w:rsid w:val="1425661F"/>
    <w:rsid w:val="1C4D0882"/>
    <w:rsid w:val="1D0B1042"/>
    <w:rsid w:val="20472F58"/>
    <w:rsid w:val="23CB2E3F"/>
    <w:rsid w:val="31D063E3"/>
    <w:rsid w:val="34AD4DA7"/>
    <w:rsid w:val="359B4ABF"/>
    <w:rsid w:val="3D80705A"/>
    <w:rsid w:val="3FA1053D"/>
    <w:rsid w:val="42B27326"/>
    <w:rsid w:val="449311F4"/>
    <w:rsid w:val="44EB17AA"/>
    <w:rsid w:val="59C95CF6"/>
    <w:rsid w:val="5B222B6E"/>
    <w:rsid w:val="5F2D1B21"/>
    <w:rsid w:val="600F7976"/>
    <w:rsid w:val="63137B19"/>
    <w:rsid w:val="67183D37"/>
    <w:rsid w:val="6AE564D0"/>
    <w:rsid w:val="6CDE35AF"/>
    <w:rsid w:val="76054663"/>
    <w:rsid w:val="777E4800"/>
    <w:rsid w:val="7C15562B"/>
    <w:rsid w:val="7DF3344D"/>
    <w:rsid w:val="FEF3E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2"/>
    <w:basedOn w:val="1"/>
    <w:qFormat/>
    <w:uiPriority w:val="0"/>
    <w:pPr>
      <w:ind w:firstLine="480" w:firstLineChars="200"/>
      <w:jc w:val="both"/>
    </w:pPr>
    <w:rPr>
      <w:rFonts w:ascii="Calibri" w:hAnsi="Calibri" w:eastAsia="宋体" w:cs="Times New Roman"/>
      <w:sz w:val="21"/>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436</Words>
  <Characters>498</Characters>
  <Lines>0</Lines>
  <Paragraphs>0</Paragraphs>
  <TotalTime>0</TotalTime>
  <ScaleCrop>false</ScaleCrop>
  <LinksUpToDate>false</LinksUpToDate>
  <CharactersWithSpaces>502</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2022-10-13T23:23:00Z</dcterms:created>
  <dc:creator>jiajia</dc:creator>
  <cp:lastModifiedBy>lenovo</cp:lastModifiedBy>
  <cp:lastPrinted>2024-03-26T20:42:00Z</cp:lastPrinted>
  <dcterms:modified xsi:type="dcterms:W3CDTF">2024-09-18T16:47:51Z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F42316D3F2ED09B58B8FEA66E607B7EC</vt:lpwstr>
  </property>
</Properties>
</file>