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3A6921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2025年9月至2026年8月网络安全运维保障服务采购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现按采购文件及贵州省公路建设养护集团有限公司非工程项目类货物服务采购管理办法规定、2025年9月25日评审情况，对</w:t>
      </w:r>
      <w:r>
        <w:rPr>
          <w:rFonts w:hint="eastAsia" w:ascii="仿宋" w:hAnsi="仿宋" w:eastAsia="仿宋" w:cs="仿宋"/>
          <w:sz w:val="28"/>
          <w:szCs w:val="28"/>
          <w:u w:val="single"/>
          <w:lang w:val="en-US" w:eastAsia="zh-CN"/>
        </w:rPr>
        <w:t>贵州省公路建设养护集团有限公司2025年9月至2026年8月网络安全运维保障服务采购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1"/>
        <w:gridCol w:w="3707"/>
        <w:gridCol w:w="1639"/>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6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370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639"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3707"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贵州蓝天创新科技有限公司</w:t>
            </w:r>
          </w:p>
        </w:tc>
        <w:tc>
          <w:tcPr>
            <w:tcW w:w="1639"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136000</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3707"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兴义市翊骞科技有限公司</w:t>
            </w:r>
          </w:p>
        </w:tc>
        <w:tc>
          <w:tcPr>
            <w:tcW w:w="1639"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129880</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bookmarkStart w:id="0" w:name="_GoBack"/>
            <w:bookmarkEnd w:id="0"/>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641"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3707"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i w:val="0"/>
                <w:iCs w:val="0"/>
                <w:color w:val="333333"/>
                <w:kern w:val="0"/>
                <w:sz w:val="28"/>
                <w:szCs w:val="28"/>
                <w:u w:val="none"/>
                <w:lang w:val="en-US" w:eastAsia="zh-CN" w:bidi="ar"/>
              </w:rPr>
              <w:t>贵州优服科技有限公司</w:t>
            </w:r>
          </w:p>
        </w:tc>
        <w:tc>
          <w:tcPr>
            <w:tcW w:w="1639"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139800</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公示时间：2025年9月27日至2025年9月29日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2025年9月26日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18B5235"/>
    <w:rsid w:val="02620600"/>
    <w:rsid w:val="02C44431"/>
    <w:rsid w:val="065B7274"/>
    <w:rsid w:val="06D031E7"/>
    <w:rsid w:val="06DF10C9"/>
    <w:rsid w:val="07815D97"/>
    <w:rsid w:val="079D3642"/>
    <w:rsid w:val="0C7B695D"/>
    <w:rsid w:val="0D520CE1"/>
    <w:rsid w:val="102B08E0"/>
    <w:rsid w:val="10505C8C"/>
    <w:rsid w:val="105E77F3"/>
    <w:rsid w:val="123151B2"/>
    <w:rsid w:val="12F11F28"/>
    <w:rsid w:val="1425661F"/>
    <w:rsid w:val="1C4D0882"/>
    <w:rsid w:val="1D0B1042"/>
    <w:rsid w:val="20472F58"/>
    <w:rsid w:val="23CB2E3F"/>
    <w:rsid w:val="29351A7E"/>
    <w:rsid w:val="31D063E3"/>
    <w:rsid w:val="34AD4DA7"/>
    <w:rsid w:val="359B4ABF"/>
    <w:rsid w:val="3D80705A"/>
    <w:rsid w:val="3FA1053D"/>
    <w:rsid w:val="42B27326"/>
    <w:rsid w:val="449311F4"/>
    <w:rsid w:val="44EB17AA"/>
    <w:rsid w:val="4A577BA0"/>
    <w:rsid w:val="4BEF4098"/>
    <w:rsid w:val="4F474051"/>
    <w:rsid w:val="59370157"/>
    <w:rsid w:val="59C95CF6"/>
    <w:rsid w:val="5B222B6E"/>
    <w:rsid w:val="5F2D1B21"/>
    <w:rsid w:val="63137B19"/>
    <w:rsid w:val="67183D37"/>
    <w:rsid w:val="6AE564D0"/>
    <w:rsid w:val="6CDE35AF"/>
    <w:rsid w:val="6F667AFB"/>
    <w:rsid w:val="73B814F5"/>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452</Words>
  <Characters>506</Characters>
  <Lines>0</Lines>
  <Paragraphs>0</Paragraphs>
  <TotalTime>4</TotalTime>
  <ScaleCrop>false</ScaleCrop>
  <LinksUpToDate>false</LinksUpToDate>
  <CharactersWithSpaces>521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2025-09-26T03:34:55Z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738A22E2318246B192AB5AF131077BAA</vt:lpwstr>
  </property>
</Properties>
</file>