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FA42A">
      <w:pPr>
        <w:spacing w:line="440" w:lineRule="exact"/>
        <w:jc w:val="center"/>
        <w:rPr>
          <w:rFonts w:hint="eastAsia" w:ascii="Times New Roman" w:hAnsi="Times New Roman" w:eastAsia="黑体"/>
          <w:color w:val="auto"/>
          <w:sz w:val="28"/>
          <w:szCs w:val="28"/>
          <w:highlight w:val="none"/>
          <w:u w:val="single"/>
          <w:lang w:eastAsia="zh-CN"/>
        </w:rPr>
      </w:pPr>
      <w:bookmarkStart w:id="0" w:name="_Toc28134_WPSOffice_Level1"/>
      <w:bookmarkStart w:id="1" w:name="_Toc8483_WPSOffice_Level1"/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  <w:u w:val="single"/>
          <w:lang w:eastAsia="zh-CN"/>
        </w:rPr>
        <w:t>贵州省贵阳公路管理局2026年普通省道公路安全提升工程劳务合作单位</w:t>
      </w:r>
    </w:p>
    <w:p w14:paraId="2CD8CAC5">
      <w:pPr>
        <w:spacing w:line="440" w:lineRule="exact"/>
        <w:jc w:val="center"/>
        <w:rPr>
          <w:rFonts w:ascii="Times New Roman" w:hAnsi="Times New Roman" w:eastAsia="黑体"/>
          <w:color w:val="auto"/>
          <w:sz w:val="28"/>
          <w:highlight w:val="none"/>
        </w:rPr>
      </w:pPr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  <w:lang w:eastAsia="zh-CN"/>
        </w:rPr>
        <w:t>谈判采购</w:t>
      </w:r>
      <w:r>
        <w:rPr>
          <w:rFonts w:ascii="Times New Roman" w:hAnsi="Times New Roman" w:eastAsia="黑体"/>
          <w:color w:val="auto"/>
          <w:sz w:val="28"/>
          <w:highlight w:val="none"/>
        </w:rPr>
        <w:t>公告</w:t>
      </w:r>
      <w:bookmarkEnd w:id="0"/>
      <w:bookmarkEnd w:id="1"/>
    </w:p>
    <w:p w14:paraId="7CFCC11B">
      <w:pPr>
        <w:pStyle w:val="8"/>
        <w:spacing w:before="0" w:after="0" w:line="360" w:lineRule="auto"/>
        <w:ind w:firstLine="420" w:firstLineChars="200"/>
        <w:rPr>
          <w:rFonts w:ascii="Times New Roman" w:hAnsi="Times New Roman" w:eastAsia="宋体" w:cs="Times New Roman"/>
          <w:color w:val="auto"/>
          <w:sz w:val="21"/>
          <w:szCs w:val="21"/>
          <w:highlight w:val="none"/>
          <w:u w:val="single"/>
          <w:lang w:eastAsia="zh-CN"/>
        </w:rPr>
      </w:pPr>
    </w:p>
    <w:p w14:paraId="517D902A">
      <w:pPr>
        <w:pStyle w:val="4"/>
        <w:snapToGrid w:val="0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本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项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  <w:t>目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贵州省贵阳公路管理局2026年普通省道公路安全提升工程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施工招标 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  <w:t>已由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黔西南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eastAsia="zh-CN"/>
        </w:rPr>
        <w:t>公路建设养护有限公司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且施工承包合同已签订，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项目建设资金来自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>政府投资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，出资比例为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100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%，工程劳务合作单位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eastAsia="zh-CN"/>
        </w:rPr>
        <w:t>黔西南公路建设养护有限公司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，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采购代理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>贵州建养公路技术咨询有限公司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。项目已具备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条件，本次对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eastAsia="zh-CN"/>
        </w:rPr>
        <w:t>贵州省贵阳公路管理局2026年普通省道公路安全提升工程劳务合作单位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（以下简称本项目）进行公开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。</w:t>
      </w:r>
    </w:p>
    <w:p w14:paraId="5B168166">
      <w:pPr>
        <w:pStyle w:val="4"/>
        <w:snapToGrid w:val="0"/>
        <w:ind w:firstLine="420" w:firstLineChars="200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本项目采用资格后审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。</w:t>
      </w:r>
    </w:p>
    <w:p w14:paraId="6C0ED6DF">
      <w:pPr>
        <w:pStyle w:val="8"/>
        <w:numPr>
          <w:ilvl w:val="0"/>
          <w:numId w:val="1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bookmarkStart w:id="2" w:name="_Toc6663"/>
      <w:bookmarkStart w:id="3" w:name="_Toc31238"/>
      <w:bookmarkStart w:id="4" w:name="_Toc13506"/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项目简介</w:t>
      </w:r>
      <w:bookmarkEnd w:id="2"/>
      <w:bookmarkEnd w:id="3"/>
      <w:bookmarkEnd w:id="4"/>
      <w:bookmarkStart w:id="49" w:name="_GoBack"/>
      <w:bookmarkEnd w:id="49"/>
    </w:p>
    <w:p w14:paraId="7829199E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eastAsia" w:ascii="Times New Roman" w:hAnsi="Times New Roman" w:cs="Times New Roman"/>
          <w:color w:val="auto"/>
          <w:szCs w:val="21"/>
          <w:highlight w:val="none"/>
          <w:u w:val="singl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</w:t>
      </w:r>
      <w:r>
        <w:rPr>
          <w:rFonts w:ascii="Times New Roman" w:hAnsi="Times New Roman"/>
          <w:b/>
          <w:bCs/>
          <w:color w:val="auto"/>
          <w:highlight w:val="none"/>
        </w:rPr>
        <w:t>.1</w:t>
      </w:r>
      <w:r>
        <w:rPr>
          <w:rFonts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项目</w:t>
      </w:r>
      <w:r>
        <w:rPr>
          <w:rFonts w:hint="default" w:ascii="Times New Roman" w:hAnsi="Times New Roman"/>
          <w:color w:val="auto"/>
          <w:highlight w:val="none"/>
        </w:rPr>
        <w:t>名称：</w:t>
      </w:r>
      <w:r>
        <w:rPr>
          <w:rFonts w:hint="eastAsia" w:ascii="Times New Roman" w:hAnsi="Times New Roman" w:cs="Times New Roman"/>
          <w:color w:val="auto"/>
          <w:szCs w:val="21"/>
          <w:highlight w:val="none"/>
          <w:u w:val="single"/>
          <w:lang w:eastAsia="zh-CN"/>
        </w:rPr>
        <w:t>贵州省贵阳公路管理局2026年普通省道公路安全提升工程劳务合作单位</w:t>
      </w:r>
    </w:p>
    <w:p w14:paraId="17336655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default" w:ascii="Times New Roman" w:hAnsi="Times New Roman" w:eastAsia="宋体"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1.2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采购人</w:t>
      </w:r>
      <w:r>
        <w:rPr>
          <w:rFonts w:hint="default" w:ascii="Times New Roman" w:hAnsi="Times New Roman"/>
          <w:color w:val="auto"/>
          <w:highlight w:val="none"/>
        </w:rPr>
        <w:t>：</w:t>
      </w:r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黔西南公路建设养护有限公司</w:t>
      </w:r>
    </w:p>
    <w:p w14:paraId="3A0F31DE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default" w:ascii="Times New Roman" w:hAnsi="Times New Roman" w:eastAsia="宋体"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1.3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采购代理</w:t>
      </w:r>
      <w:r>
        <w:rPr>
          <w:rFonts w:hint="default" w:ascii="Times New Roman" w:hAnsi="Times New Roman"/>
          <w:color w:val="auto"/>
          <w:highlight w:val="none"/>
        </w:rPr>
        <w:t>机构：</w:t>
      </w:r>
      <w:r>
        <w:rPr>
          <w:rFonts w:hint="eastAsia" w:ascii="Times New Roman" w:hAnsi="Times New Roman"/>
          <w:color w:val="auto"/>
          <w:highlight w:val="none"/>
          <w:u w:val="single"/>
          <w:lang w:eastAsia="zh-CN"/>
        </w:rPr>
        <w:t>贵州建养公路技术咨询有限公司</w:t>
      </w:r>
    </w:p>
    <w:p w14:paraId="37F18889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ascii="Times New Roman" w:hAnsi="Times New Roman"/>
          <w:color w:val="auto"/>
          <w:highlight w:val="none"/>
          <w:u w:val="singl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1.4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项目</w:t>
      </w:r>
      <w:r>
        <w:rPr>
          <w:rFonts w:ascii="Times New Roman" w:hAnsi="Times New Roman"/>
          <w:color w:val="auto"/>
          <w:highlight w:val="none"/>
        </w:rPr>
        <w:t>资金</w:t>
      </w:r>
      <w:r>
        <w:rPr>
          <w:rFonts w:hint="default" w:ascii="Times New Roman" w:hAnsi="Times New Roman"/>
          <w:color w:val="auto"/>
          <w:highlight w:val="none"/>
        </w:rPr>
        <w:t>落实情况：</w:t>
      </w:r>
      <w:r>
        <w:rPr>
          <w:rFonts w:ascii="Times New Roman" w:hAnsi="Times New Roman"/>
          <w:color w:val="auto"/>
          <w:highlight w:val="none"/>
          <w:u w:val="single"/>
        </w:rPr>
        <w:t>已落实</w:t>
      </w:r>
    </w:p>
    <w:p w14:paraId="55C072D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textAlignment w:val="baseline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1.5 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采购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项目概况：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项目共包括10个路段，具体如下：</w:t>
      </w:r>
    </w:p>
    <w:p w14:paraId="215B3880">
      <w:pPr>
        <w:pStyle w:val="4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项目第一段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S102线K2+090～K5+797段、K25+449～K41+891段、K44+053～K84+959段、K98+425～K127+722段起点位于乌当区下坝镇谷定村谷定沙坡、止于开阳县花梨乡肖家坳平交道口，本路段处治长度为90.352Km。</w:t>
      </w:r>
    </w:p>
    <w:p w14:paraId="08C7A156">
      <w:pPr>
        <w:pStyle w:val="4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项目第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段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S103线K1+365～K10+429段，起于南明区大关口，经水塘村、永乐乡、羊角村、冯庄，止于贵阳市与龙里县交界五里牌处。本路段处治长度为9.064Km。</w:t>
      </w:r>
    </w:p>
    <w:p w14:paraId="2EA45F47">
      <w:pPr>
        <w:pStyle w:val="4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项目第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段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S104线K19+249～K38+660段，起于花溪区高坡乡，经水塘村、五寨村、掌己村、甲定村、克里村、龙云村、止于花溪区上午与惠水县交界处。本路段处治长度为19.411Km。</w:t>
      </w:r>
    </w:p>
    <w:p w14:paraId="633C01EB">
      <w:pPr>
        <w:pStyle w:val="4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项目第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段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S106线K0+000～K19+739段，起于花溪区石板镇，经赶井、打通村、雪厂村、久安乡、小山村，翁井村、止于金华镇金翁路与宾阳大道路口。本路段处治长度为19.739Km。</w:t>
      </w:r>
    </w:p>
    <w:p w14:paraId="10F8143E">
      <w:pPr>
        <w:pStyle w:val="4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项目第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段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S207线第一段起点K38+828位于开阳县米坪乡清水口（米坪岸），终点K51+829位于开阳县花梨镇高坪村接S102线；第二段起点K112+668位于开阳县龙岗镇，终点K142+814位于开阳县高寨乡天星桥接黔南界。本路段处治长度为43.147Km。</w:t>
      </w:r>
    </w:p>
    <w:p w14:paraId="73020DE7">
      <w:pPr>
        <w:pStyle w:val="4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项目第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段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S208线K0+000～K30+368段，起于息烽县乌江大桥（地区界），途经红军长征南渡乌江纪念广场、前奔村、流长镇人民政府、李安寨村、甘溪村、王家坪村、前进村、潮水村、盘脚营村、止于息烽县小寨坝镇龙泉大道桥下。本路段处治长度为30.368Km。</w:t>
      </w:r>
    </w:p>
    <w:p w14:paraId="5281084C">
      <w:pPr>
        <w:pStyle w:val="4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项目第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段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S210线K62+635～K79+716段，起于清镇市暗流镇高炉，经暗流镇洗米村、岩上村、暗流社区、关口村、卫城镇龙井村，止于卫城镇一条龙路口。本路段处治长度为17.081Km。</w:t>
      </w:r>
    </w:p>
    <w:p w14:paraId="184CAE41">
      <w:pPr>
        <w:pStyle w:val="4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项目第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段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S308线K94+433～K139+426段，起于息烽县永靖大道（交叉路口），途经西山镇、金星村、鹿窝村、西山村、联合村、马路岩村、鲁仪衙村、腰寨村、九庄镇天鹅村、桐枝驿村、六桶镇大兴村、止于修文县六桶镇石板村路口。本路段处治长度为44.993Km。</w:t>
      </w:r>
    </w:p>
    <w:p w14:paraId="02086C33">
      <w:pPr>
        <w:pStyle w:val="4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9.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项目第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段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S520线K44+661～K78+408段，起于修文县大石乡窦家堡路口，途经三合村、何家洞村、玉龙村、中坝村、高峰村、石硐村、青山乡高田坎、青山苗族乡街道、息烽小桥河水库、绿化村、河丰村、永靖镇门斗坡、止于息烽县永靖镇大槽（断头路起）。本路段处治长度为33.747Km。</w:t>
      </w:r>
    </w:p>
    <w:p w14:paraId="5915B460">
      <w:pPr>
        <w:pStyle w:val="4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10.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项目第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段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S537线S537线K0+000～K13+746段、K17+288～K51+262段，起于开阳县金中镇，途经金华村、寨子村、政立矿业平安二矿区、鬼门关、双流镇用沙村、双永村、双流镇集镇、三合村、长田村、西冲村、独山村、大河村、桃源河景区、止于修文县扎佐镇高潮村路口。本路段处治长度为47.720Km。</w:t>
      </w:r>
    </w:p>
    <w:p w14:paraId="16B7AEEB">
      <w:pPr>
        <w:pStyle w:val="3"/>
        <w:spacing w:line="240" w:lineRule="auto"/>
        <w:rPr>
          <w:rFonts w:ascii="Times New Roman" w:hAnsi="Times New Roman"/>
          <w:color w:val="auto"/>
          <w:highlight w:val="none"/>
        </w:rPr>
      </w:pPr>
      <w:bookmarkStart w:id="5" w:name="_Toc3135"/>
      <w:bookmarkStart w:id="6" w:name="_Toc26240"/>
      <w:bookmarkStart w:id="7" w:name="_Toc21047"/>
      <w:bookmarkStart w:id="8" w:name="_Toc7764"/>
      <w:bookmarkStart w:id="9" w:name="_Toc24107"/>
      <w:bookmarkStart w:id="10" w:name="_Toc10095"/>
      <w:bookmarkStart w:id="11" w:name="_Toc8483_WPSOffice_Level3"/>
      <w:bookmarkStart w:id="12" w:name="_Toc9210"/>
      <w:r>
        <w:rPr>
          <w:rFonts w:ascii="Times New Roman" w:hAnsi="Times New Roman"/>
          <w:color w:val="auto"/>
          <w:highlight w:val="none"/>
        </w:rPr>
        <w:t xml:space="preserve">2.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范围</w:t>
      </w:r>
      <w:r>
        <w:rPr>
          <w:rFonts w:hint="default" w:ascii="Times New Roman" w:hAnsi="Times New Roman"/>
          <w:color w:val="auto"/>
          <w:highlight w:val="none"/>
        </w:rPr>
        <w:t>及相关要求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4D3080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2.1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范围：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本次采购范围为工程施工劳务合作，中标后供应商需严格按照采购人现场管理人员要求，全面完成图纸及工程量清单范围内的全部施工劳务作业，严格遵守施工规范、安全标准及采购人的现场管理要求，确保劳务作业质量、进度及安全符合项目约定。</w:t>
      </w:r>
    </w:p>
    <w:p w14:paraId="6CEEA4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.2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计划工期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270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日历天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。</w:t>
      </w:r>
    </w:p>
    <w:p w14:paraId="50787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</w:t>
      </w:r>
      <w:r>
        <w:rPr>
          <w:rFonts w:ascii="Times New Roman" w:hAnsi="Times New Roman"/>
          <w:b/>
          <w:bCs/>
          <w:color w:val="auto"/>
          <w:highlight w:val="none"/>
        </w:rPr>
        <w:t xml:space="preserve">.3 </w:t>
      </w:r>
      <w:r>
        <w:rPr>
          <w:rFonts w:hint="eastAsia" w:ascii="Times New Roman" w:hAnsi="Times New Roman"/>
          <w:b/>
          <w:bCs/>
          <w:color w:val="auto"/>
          <w:highlight w:val="none"/>
          <w:lang w:val="en-US" w:eastAsia="zh-CN"/>
        </w:rPr>
        <w:t>工程</w:t>
      </w:r>
      <w:r>
        <w:rPr>
          <w:rFonts w:hint="default" w:ascii="Times New Roman" w:hAnsi="Times New Roman"/>
          <w:b/>
          <w:bCs/>
          <w:color w:val="auto"/>
          <w:highlight w:val="none"/>
          <w:u w:val="none"/>
        </w:rPr>
        <w:t>地</w:t>
      </w:r>
      <w:r>
        <w:rPr>
          <w:rFonts w:hint="default" w:ascii="Times New Roman" w:hAnsi="Times New Roman"/>
          <w:b/>
          <w:bCs/>
          <w:color w:val="auto"/>
          <w:highlight w:val="none"/>
        </w:rPr>
        <w:t>点：</w:t>
      </w:r>
      <w:bookmarkStart w:id="13" w:name="OLE_LINK2"/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贵州省</w:t>
      </w:r>
      <w:bookmarkEnd w:id="13"/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贵阳市境内</w:t>
      </w:r>
      <w:r>
        <w:rPr>
          <w:rFonts w:ascii="Times New Roman" w:hAnsi="Times New Roman"/>
          <w:color w:val="auto"/>
          <w:highlight w:val="none"/>
        </w:rPr>
        <w:t>。</w:t>
      </w:r>
    </w:p>
    <w:p w14:paraId="37DEF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default" w:ascii="Times New Roman" w:hAnsi="Times New Roman"/>
          <w:color w:val="auto"/>
          <w:highlight w:val="none"/>
          <w:u w:val="singl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2.4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default" w:ascii="Times New Roman" w:hAnsi="Times New Roman"/>
          <w:b/>
          <w:bCs/>
          <w:color w:val="auto"/>
          <w:highlight w:val="none"/>
        </w:rPr>
        <w:t>质量要求</w:t>
      </w:r>
      <w:r>
        <w:rPr>
          <w:rFonts w:ascii="Times New Roman" w:hAnsi="Times New Roman"/>
          <w:b/>
          <w:bCs/>
          <w:color w:val="auto"/>
          <w:highlight w:val="none"/>
        </w:rPr>
        <w:t>：</w:t>
      </w:r>
      <w:r>
        <w:rPr>
          <w:rFonts w:hint="eastAsia" w:ascii="Times New Roman" w:hAnsi="Times New Roman"/>
          <w:color w:val="auto"/>
          <w:highlight w:val="none"/>
          <w:u w:val="single"/>
          <w:lang w:eastAsia="zh-CN"/>
        </w:rPr>
        <w:t>按总（分）包合同有关质量的约定及国家相关标准规范作业，劳务作业工作成果需满足国家现行的有关质量检验验收标准，本工作交工验收必须达到质量评定合格等级。</w:t>
      </w:r>
    </w:p>
    <w:p w14:paraId="183474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default" w:ascii="Times New Roman" w:hAnsi="Times New Roman"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2.</w:t>
      </w:r>
      <w:r>
        <w:rPr>
          <w:rFonts w:hint="default" w:ascii="Times New Roman" w:hAnsi="Times New Roman"/>
          <w:b/>
          <w:bCs/>
          <w:color w:val="auto"/>
          <w:highlight w:val="none"/>
          <w:lang w:val="en-US" w:eastAsia="zh-CN"/>
        </w:rPr>
        <w:t>5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default" w:ascii="Times New Roman" w:hAnsi="Times New Roman"/>
          <w:b/>
          <w:bCs/>
          <w:color w:val="auto"/>
          <w:highlight w:val="none"/>
          <w:lang w:val="en-US" w:eastAsia="zh-CN"/>
        </w:rPr>
        <w:t>安全目标</w:t>
      </w:r>
      <w:r>
        <w:rPr>
          <w:rFonts w:ascii="Times New Roman" w:hAnsi="Times New Roman"/>
          <w:b/>
          <w:bCs/>
          <w:color w:val="auto"/>
          <w:highlight w:val="none"/>
        </w:rPr>
        <w:t>：</w:t>
      </w:r>
      <w:r>
        <w:rPr>
          <w:rFonts w:hint="default" w:ascii="Times New Roman" w:hAnsi="Times New Roman"/>
          <w:color w:val="auto"/>
          <w:highlight w:val="none"/>
          <w:u w:val="single"/>
        </w:rPr>
        <w:t>不发生任何安全生产责任事故</w:t>
      </w:r>
      <w:r>
        <w:rPr>
          <w:rFonts w:hint="default" w:ascii="Times New Roman" w:hAnsi="Times New Roman"/>
          <w:color w:val="auto"/>
          <w:highlight w:val="none"/>
          <w:u w:val="none"/>
          <w:lang w:eastAsia="zh-CN"/>
        </w:rPr>
        <w:t>。</w:t>
      </w:r>
    </w:p>
    <w:p w14:paraId="6470CC52">
      <w:pPr>
        <w:spacing w:line="240" w:lineRule="auto"/>
        <w:ind w:firstLine="0" w:firstLineChars="0"/>
        <w:rPr>
          <w:rFonts w:hint="eastAsia" w:ascii="Times New Roman" w:hAnsi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br w:type="page"/>
      </w:r>
      <w:r>
        <w:rPr>
          <w:rFonts w:hint="default" w:ascii="Times New Roman" w:hAnsi="Times New Roman"/>
          <w:b/>
          <w:bCs/>
          <w:color w:val="auto"/>
          <w:highlight w:val="none"/>
        </w:rPr>
        <w:t>2.6</w:t>
      </w:r>
      <w:r>
        <w:rPr>
          <w:rFonts w:hint="default" w:ascii="Times New Roman" w:hAnsi="Times New Roman"/>
          <w:b/>
          <w:bCs/>
          <w:color w:val="auto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/>
          <w:color w:val="auto"/>
          <w:highlight w:val="none"/>
          <w:u w:val="none"/>
        </w:rPr>
        <w:t>标段划分</w:t>
      </w:r>
      <w:r>
        <w:rPr>
          <w:rFonts w:hint="default" w:ascii="Times New Roman" w:hAnsi="Times New Roman"/>
          <w:color w:val="auto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/>
          <w:color w:val="auto"/>
          <w:highlight w:val="none"/>
          <w:u w:val="single"/>
        </w:rPr>
        <w:t>本次</w:t>
      </w:r>
      <w:r>
        <w:rPr>
          <w:rFonts w:hint="eastAsia" w:ascii="Times New Roman" w:hAnsi="Times New Roman"/>
          <w:color w:val="auto"/>
          <w:highlight w:val="none"/>
          <w:u w:val="singl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u w:val="single"/>
        </w:rPr>
        <w:t>共划分为</w:t>
      </w:r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四个</w:t>
      </w:r>
      <w:r>
        <w:rPr>
          <w:rFonts w:hint="default" w:ascii="Times New Roman" w:hAnsi="Times New Roman"/>
          <w:color w:val="auto"/>
          <w:highlight w:val="none"/>
          <w:u w:val="single"/>
        </w:rPr>
        <w:t>标段</w:t>
      </w:r>
      <w:r>
        <w:rPr>
          <w:rFonts w:hint="eastAsia" w:ascii="Times New Roman" w:hAnsi="Times New Roman"/>
          <w:color w:val="auto"/>
          <w:highlight w:val="none"/>
          <w:u w:val="single"/>
          <w:lang w:eastAsia="zh-CN"/>
        </w:rPr>
        <w:t>，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val="en-US" w:eastAsia="zh-CN"/>
        </w:rPr>
        <w:t>具体如下：</w:t>
      </w:r>
    </w:p>
    <w:tbl>
      <w:tblPr>
        <w:tblStyle w:val="6"/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978"/>
        <w:gridCol w:w="3647"/>
        <w:gridCol w:w="2333"/>
      </w:tblGrid>
      <w:tr w14:paraId="2A71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05" w:type="pct"/>
            <w:noWrap w:val="0"/>
            <w:vAlign w:val="center"/>
          </w:tcPr>
          <w:p w14:paraId="1A884EE0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92" w:type="pct"/>
            <w:noWrap w:val="0"/>
            <w:vAlign w:val="center"/>
          </w:tcPr>
          <w:p w14:paraId="4DA20B88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标段编号</w:t>
            </w:r>
          </w:p>
        </w:tc>
        <w:tc>
          <w:tcPr>
            <w:tcW w:w="2013" w:type="pct"/>
            <w:noWrap w:val="0"/>
            <w:vAlign w:val="center"/>
          </w:tcPr>
          <w:p w14:paraId="25FBBFF8">
            <w:pPr>
              <w:pStyle w:val="5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标段范围</w:t>
            </w:r>
          </w:p>
        </w:tc>
        <w:tc>
          <w:tcPr>
            <w:tcW w:w="1288" w:type="pct"/>
            <w:noWrap w:val="0"/>
            <w:vAlign w:val="center"/>
          </w:tcPr>
          <w:p w14:paraId="118868F6">
            <w:pPr>
              <w:pStyle w:val="5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采购范围</w:t>
            </w:r>
          </w:p>
        </w:tc>
      </w:tr>
      <w:tr w14:paraId="0F520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05" w:type="pct"/>
            <w:noWrap w:val="0"/>
            <w:vAlign w:val="center"/>
          </w:tcPr>
          <w:p w14:paraId="6F3025EE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92" w:type="pct"/>
            <w:noWrap w:val="0"/>
            <w:vAlign w:val="center"/>
          </w:tcPr>
          <w:p w14:paraId="1E231890">
            <w:pPr>
              <w:pStyle w:val="5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LWHZ-1</w:t>
            </w:r>
          </w:p>
        </w:tc>
        <w:tc>
          <w:tcPr>
            <w:tcW w:w="2013" w:type="pct"/>
            <w:noWrap w:val="0"/>
            <w:vAlign w:val="center"/>
          </w:tcPr>
          <w:p w14:paraId="26A3A594">
            <w:pPr>
              <w:pStyle w:val="5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S102线</w:t>
            </w:r>
          </w:p>
        </w:tc>
        <w:tc>
          <w:tcPr>
            <w:tcW w:w="1288" w:type="pct"/>
            <w:noWrap w:val="0"/>
            <w:vAlign w:val="center"/>
          </w:tcPr>
          <w:p w14:paraId="566A36F1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劳务合作</w:t>
            </w:r>
          </w:p>
        </w:tc>
      </w:tr>
      <w:tr w14:paraId="2B13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05" w:type="pct"/>
            <w:noWrap w:val="0"/>
            <w:vAlign w:val="center"/>
          </w:tcPr>
          <w:p w14:paraId="4F3DBB8A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92" w:type="pct"/>
            <w:noWrap w:val="0"/>
            <w:vAlign w:val="center"/>
          </w:tcPr>
          <w:p w14:paraId="78EDEF61">
            <w:pPr>
              <w:pStyle w:val="5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LWHZ-2</w:t>
            </w:r>
          </w:p>
        </w:tc>
        <w:tc>
          <w:tcPr>
            <w:tcW w:w="2013" w:type="pct"/>
            <w:noWrap w:val="0"/>
            <w:vAlign w:val="center"/>
          </w:tcPr>
          <w:p w14:paraId="30B36207">
            <w:pPr>
              <w:pStyle w:val="5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S103线、S104线、S106线、S210线</w:t>
            </w:r>
          </w:p>
        </w:tc>
        <w:tc>
          <w:tcPr>
            <w:tcW w:w="1288" w:type="pct"/>
            <w:noWrap w:val="0"/>
            <w:vAlign w:val="center"/>
          </w:tcPr>
          <w:p w14:paraId="4D9E2879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劳务合作</w:t>
            </w:r>
          </w:p>
        </w:tc>
      </w:tr>
      <w:tr w14:paraId="7E23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05" w:type="pct"/>
            <w:noWrap w:val="0"/>
            <w:vAlign w:val="center"/>
          </w:tcPr>
          <w:p w14:paraId="27C99F66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92" w:type="pct"/>
            <w:noWrap w:val="0"/>
            <w:vAlign w:val="center"/>
          </w:tcPr>
          <w:p w14:paraId="727210B5">
            <w:pPr>
              <w:pStyle w:val="5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LWHZ-3</w:t>
            </w:r>
          </w:p>
        </w:tc>
        <w:tc>
          <w:tcPr>
            <w:tcW w:w="2013" w:type="pct"/>
            <w:noWrap w:val="0"/>
            <w:vAlign w:val="center"/>
          </w:tcPr>
          <w:p w14:paraId="013E95FD">
            <w:pPr>
              <w:pStyle w:val="5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S208线、S308线、S520线</w:t>
            </w:r>
          </w:p>
        </w:tc>
        <w:tc>
          <w:tcPr>
            <w:tcW w:w="1288" w:type="pct"/>
            <w:shd w:val="clear" w:color="auto" w:fill="auto"/>
            <w:noWrap w:val="0"/>
            <w:vAlign w:val="center"/>
          </w:tcPr>
          <w:p w14:paraId="60D0A20B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劳务合作</w:t>
            </w:r>
          </w:p>
        </w:tc>
      </w:tr>
      <w:tr w14:paraId="2765E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05" w:type="pct"/>
            <w:noWrap w:val="0"/>
            <w:vAlign w:val="center"/>
          </w:tcPr>
          <w:p w14:paraId="5DBFEE1F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92" w:type="pct"/>
            <w:noWrap w:val="0"/>
            <w:vAlign w:val="center"/>
          </w:tcPr>
          <w:p w14:paraId="23B8D619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LWHZ-4</w:t>
            </w:r>
          </w:p>
        </w:tc>
        <w:tc>
          <w:tcPr>
            <w:tcW w:w="2013" w:type="pct"/>
            <w:noWrap w:val="0"/>
            <w:vAlign w:val="center"/>
          </w:tcPr>
          <w:p w14:paraId="77494688">
            <w:pPr>
              <w:pStyle w:val="5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S207线、S537线</w:t>
            </w:r>
          </w:p>
        </w:tc>
        <w:tc>
          <w:tcPr>
            <w:tcW w:w="1288" w:type="pct"/>
            <w:shd w:val="clear" w:color="auto" w:fill="auto"/>
            <w:noWrap w:val="0"/>
            <w:vAlign w:val="center"/>
          </w:tcPr>
          <w:p w14:paraId="7E5D64F2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劳务合作</w:t>
            </w:r>
          </w:p>
        </w:tc>
      </w:tr>
    </w:tbl>
    <w:p w14:paraId="22E8A59F">
      <w:pPr>
        <w:spacing w:line="400" w:lineRule="exact"/>
        <w:ind w:firstLine="420" w:firstLineChars="0"/>
        <w:rPr>
          <w:rFonts w:hint="default" w:ascii="Times New Roman" w:hAnsi="Times New Roman"/>
          <w:color w:val="auto"/>
          <w:highlight w:val="none"/>
          <w:u w:val="none"/>
        </w:rPr>
      </w:pPr>
      <w:r>
        <w:rPr>
          <w:rFonts w:hint="eastAsia" w:ascii="宋体" w:hAnsi="宋体"/>
          <w:b/>
          <w:bCs/>
          <w:kern w:val="0"/>
          <w:sz w:val="21"/>
          <w:szCs w:val="21"/>
        </w:rPr>
        <w:t>注：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/>
          <w:b/>
          <w:bCs/>
          <w:kern w:val="0"/>
          <w:sz w:val="21"/>
          <w:szCs w:val="21"/>
        </w:rPr>
        <w:t>可以同时对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多</w:t>
      </w:r>
      <w:r>
        <w:rPr>
          <w:rFonts w:hint="eastAsia" w:ascii="宋体" w:hAnsi="宋体"/>
          <w:b/>
          <w:bCs/>
          <w:kern w:val="0"/>
          <w:sz w:val="21"/>
          <w:szCs w:val="21"/>
        </w:rPr>
        <w:t>个标段进行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投标响应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供应商对多个标段同时投标响应的，应分别提交响应文件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bCs/>
          <w:kern w:val="0"/>
          <w:sz w:val="21"/>
          <w:szCs w:val="21"/>
        </w:rPr>
        <w:t>，但最多允许在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一</w:t>
      </w:r>
      <w:r>
        <w:rPr>
          <w:rFonts w:hint="eastAsia" w:ascii="宋体" w:hAnsi="宋体"/>
          <w:b/>
          <w:bCs/>
          <w:kern w:val="0"/>
          <w:sz w:val="21"/>
          <w:szCs w:val="21"/>
        </w:rPr>
        <w:t>个标段中标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成交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bCs/>
          <w:kern w:val="0"/>
          <w:sz w:val="21"/>
          <w:szCs w:val="21"/>
        </w:rPr>
        <w:t>，如某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/>
          <w:b/>
          <w:bCs/>
          <w:kern w:val="0"/>
          <w:sz w:val="21"/>
          <w:szCs w:val="21"/>
        </w:rPr>
        <w:t>在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两个（或以上数量）</w:t>
      </w:r>
      <w:r>
        <w:rPr>
          <w:rFonts w:hint="eastAsia" w:ascii="宋体" w:hAnsi="宋体"/>
          <w:b/>
          <w:bCs/>
          <w:kern w:val="0"/>
          <w:sz w:val="21"/>
          <w:szCs w:val="21"/>
        </w:rPr>
        <w:t>标段综合得分均排名第一，则仅保留其在最高限价较高的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一</w:t>
      </w:r>
      <w:r>
        <w:rPr>
          <w:rFonts w:hint="eastAsia" w:ascii="宋体" w:hAnsi="宋体"/>
          <w:b/>
          <w:bCs/>
          <w:kern w:val="0"/>
          <w:sz w:val="21"/>
          <w:szCs w:val="21"/>
        </w:rPr>
        <w:t>个标段的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第一</w:t>
      </w:r>
      <w:r>
        <w:rPr>
          <w:rFonts w:hint="eastAsia" w:ascii="宋体" w:hAnsi="宋体"/>
          <w:b/>
          <w:bCs/>
          <w:kern w:val="0"/>
          <w:sz w:val="21"/>
          <w:szCs w:val="21"/>
        </w:rPr>
        <w:t>中标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成交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候选人</w:t>
      </w:r>
      <w:r>
        <w:rPr>
          <w:rFonts w:hint="eastAsia" w:ascii="宋体" w:hAnsi="宋体"/>
          <w:b/>
          <w:bCs/>
          <w:kern w:val="0"/>
          <w:sz w:val="21"/>
          <w:szCs w:val="21"/>
        </w:rPr>
        <w:t>资格，剩余标段不再推荐其为中标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成交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候选</w:t>
      </w:r>
      <w:r>
        <w:rPr>
          <w:rFonts w:hint="eastAsia" w:ascii="宋体" w:hAnsi="宋体"/>
          <w:b/>
          <w:bCs/>
          <w:kern w:val="0"/>
          <w:sz w:val="21"/>
          <w:szCs w:val="21"/>
        </w:rPr>
        <w:t>人，由排名其后的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/>
          <w:b/>
          <w:bCs/>
          <w:kern w:val="0"/>
          <w:sz w:val="21"/>
          <w:szCs w:val="21"/>
        </w:rPr>
        <w:t>依次顺延递补。</w:t>
      </w:r>
    </w:p>
    <w:p w14:paraId="23565757">
      <w:pPr>
        <w:pStyle w:val="5"/>
        <w:rPr>
          <w:rFonts w:hint="default"/>
          <w:lang w:val="en-US" w:eastAsia="zh-CN"/>
        </w:rPr>
      </w:pPr>
    </w:p>
    <w:p w14:paraId="737C1780">
      <w:pPr>
        <w:pStyle w:val="8"/>
        <w:numPr>
          <w:ilvl w:val="255"/>
          <w:numId w:val="0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bookmarkStart w:id="14" w:name="_Toc7070"/>
      <w:bookmarkStart w:id="15" w:name="_Toc1169"/>
      <w:bookmarkStart w:id="16" w:name="_Toc9400"/>
      <w:bookmarkStart w:id="17" w:name="_Toc77"/>
      <w:bookmarkStart w:id="18" w:name="_Toc1988"/>
      <w:bookmarkStart w:id="19" w:name="_Toc17603_WPSOffice_Level3"/>
      <w:bookmarkStart w:id="20" w:name="_Toc31415"/>
      <w:bookmarkStart w:id="21" w:name="_Toc8523"/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 xml:space="preserve">3. </w:t>
      </w:r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供应商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资格要求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48D9DD3C">
      <w:pPr>
        <w:spacing w:line="400" w:lineRule="exact"/>
        <w:ind w:firstLine="422" w:firstLineChars="200"/>
        <w:rPr>
          <w:rFonts w:ascii="Times New Roman" w:hAnsi="Times New Roman"/>
          <w:color w:val="auto"/>
          <w:szCs w:val="22"/>
          <w:highlight w:val="none"/>
        </w:rPr>
      </w:pPr>
      <w:r>
        <w:rPr>
          <w:rFonts w:hint="default" w:ascii="Times New Roman" w:hAnsi="Times New Roman"/>
          <w:b/>
          <w:bCs/>
          <w:color w:val="auto"/>
          <w:szCs w:val="22"/>
          <w:highlight w:val="none"/>
        </w:rPr>
        <w:t>3</w:t>
      </w:r>
      <w:r>
        <w:rPr>
          <w:rFonts w:ascii="Times New Roman" w:hAnsi="Times New Roman"/>
          <w:b/>
          <w:bCs/>
          <w:color w:val="auto"/>
          <w:szCs w:val="22"/>
          <w:highlight w:val="none"/>
        </w:rPr>
        <w:t>.1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szCs w:val="22"/>
          <w:highlight w:val="none"/>
          <w:lang w:eastAsia="zh-CN"/>
        </w:rPr>
        <w:t>供应商</w:t>
      </w:r>
      <w:r>
        <w:rPr>
          <w:rFonts w:hint="default" w:ascii="Times New Roman" w:hAnsi="Times New Roman"/>
          <w:color w:val="auto"/>
          <w:szCs w:val="22"/>
          <w:highlight w:val="none"/>
        </w:rPr>
        <w:t>应依法设立且满足如下要求</w:t>
      </w:r>
      <w:r>
        <w:rPr>
          <w:rFonts w:ascii="Times New Roman" w:hAnsi="Times New Roman"/>
          <w:color w:val="auto"/>
          <w:szCs w:val="22"/>
          <w:highlight w:val="none"/>
        </w:rPr>
        <w:t>：</w:t>
      </w:r>
    </w:p>
    <w:p w14:paraId="61360EBF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</w:pPr>
      <w:r>
        <w:rPr>
          <w:rFonts w:ascii="Times New Roman" w:hAnsi="Times New Roman"/>
          <w:szCs w:val="22"/>
          <w:highlight w:val="none"/>
        </w:rPr>
        <w:t>（1）资质要求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：①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供应商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应为中华人民共和国境内具有独立法人资格，持有合法有效的企业法人营业执照（提供营业执照扫描件）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，有企业基本账户（提供开户许可证或基本存款帐户信息）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；</w:t>
      </w:r>
    </w:p>
    <w:p w14:paraId="77CB8015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②具有建设行政主管部门核发的《施工劳务企业资质证书》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或取得企业工商注册所在地市（州）级及以上住房城乡建设主管部门颁发的施工劳务备案证明）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及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安全生产许可证（提供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有效期内的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证书扫描件）；</w:t>
      </w:r>
    </w:p>
    <w:p w14:paraId="47E53BED">
      <w:pPr>
        <w:spacing w:line="400" w:lineRule="exact"/>
        <w:ind w:firstLine="315" w:firstLineChars="150"/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③根据《贵州省公路建设养护集团有限公司工程项目劳务管理办法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2024年修订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》（黔路建养发〔2024〕17号）的规定，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供应商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须为贵州省公路建设养护集团有限公司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一级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劳务队伍库内劳务单位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提供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供应商为合格的集团一级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劳务队伍库内劳务单位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承诺，如提供虚假承诺的将取消中标资格）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。</w:t>
      </w:r>
    </w:p>
    <w:p w14:paraId="4B05E9DC">
      <w:pPr>
        <w:spacing w:line="400" w:lineRule="exact"/>
        <w:ind w:firstLine="315" w:firstLineChars="150"/>
        <w:rPr>
          <w:rFonts w:hint="default" w:ascii="Times New Roman" w:hAnsi="Times New Roman"/>
          <w:color w:val="auto"/>
          <w:szCs w:val="22"/>
          <w:highlight w:val="none"/>
          <w:u w:val="single"/>
        </w:rPr>
      </w:pPr>
      <w:r>
        <w:rPr>
          <w:rFonts w:ascii="Times New Roman" w:hAnsi="Times New Roman"/>
          <w:szCs w:val="22"/>
          <w:highlight w:val="none"/>
        </w:rPr>
        <w:t>（2）财务要求：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  <w:lang w:eastAsia="zh-CN"/>
        </w:rPr>
        <w:t>不要求</w:t>
      </w:r>
      <w:r>
        <w:rPr>
          <w:rFonts w:hint="default" w:ascii="Times New Roman" w:hAnsi="Times New Roman"/>
          <w:color w:val="auto"/>
          <w:szCs w:val="22"/>
          <w:highlight w:val="none"/>
          <w:u w:val="none"/>
        </w:rPr>
        <w:t>；</w:t>
      </w:r>
    </w:p>
    <w:p w14:paraId="44CBB2AB">
      <w:pPr>
        <w:spacing w:line="400" w:lineRule="exact"/>
        <w:ind w:firstLine="315" w:firstLineChars="150"/>
        <w:rPr>
          <w:rFonts w:ascii="Times New Roman" w:hAnsi="Times New Roman"/>
          <w:szCs w:val="22"/>
          <w:highlight w:val="none"/>
        </w:rPr>
      </w:pPr>
      <w:r>
        <w:rPr>
          <w:rFonts w:ascii="Times New Roman" w:hAnsi="Times New Roman"/>
          <w:szCs w:val="22"/>
          <w:highlight w:val="none"/>
        </w:rPr>
        <w:t>（3）业绩要求：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资格审查阶段不做业绩要求</w:t>
      </w:r>
      <w:r>
        <w:rPr>
          <w:rFonts w:hint="default" w:ascii="Times New Roman" w:hAnsi="Times New Roman" w:cs="Times New Roman"/>
          <w:b/>
          <w:bCs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；</w:t>
      </w:r>
    </w:p>
    <w:p w14:paraId="34523FDB">
      <w:pPr>
        <w:spacing w:line="400" w:lineRule="exact"/>
        <w:ind w:firstLine="315" w:firstLineChars="150"/>
        <w:rPr>
          <w:rFonts w:hint="default" w:ascii="Times New Roman" w:hAnsi="Times New Roman"/>
          <w:color w:val="auto"/>
          <w:szCs w:val="22"/>
          <w:highlight w:val="none"/>
          <w:u w:val="single"/>
        </w:rPr>
      </w:pPr>
      <w:r>
        <w:rPr>
          <w:rFonts w:ascii="Times New Roman" w:hAnsi="Times New Roman"/>
          <w:color w:val="auto"/>
          <w:szCs w:val="22"/>
          <w:highlight w:val="none"/>
        </w:rPr>
        <w:t>（4）信誉要求：</w:t>
      </w:r>
      <w:r>
        <w:rPr>
          <w:rFonts w:hint="default" w:ascii="Times New Roman" w:hAnsi="Times New Roman"/>
          <w:color w:val="auto"/>
          <w:szCs w:val="22"/>
          <w:highlight w:val="none"/>
          <w:u w:val="single"/>
        </w:rPr>
        <w:t>①参加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  <w:lang w:eastAsia="zh-CN"/>
        </w:rPr>
        <w:t>采购</w:t>
      </w:r>
      <w:r>
        <w:rPr>
          <w:rFonts w:hint="default" w:ascii="Times New Roman" w:hAnsi="Times New Roman"/>
          <w:color w:val="auto"/>
          <w:szCs w:val="22"/>
          <w:highlight w:val="none"/>
          <w:u w:val="single"/>
          <w:lang w:eastAsia="zh-CN"/>
        </w:rPr>
        <w:t>活动</w:t>
      </w:r>
      <w:r>
        <w:rPr>
          <w:rFonts w:hint="default" w:ascii="Times New Roman" w:hAnsi="Times New Roman"/>
          <w:color w:val="auto"/>
          <w:szCs w:val="22"/>
          <w:highlight w:val="none"/>
          <w:u w:val="single"/>
        </w:rPr>
        <w:t>前3年内在经营活动中没有重大违法记录的书面声明（自行承诺）</w:t>
      </w:r>
      <w:r>
        <w:rPr>
          <w:rFonts w:hint="default" w:ascii="Times New Roman" w:hAnsi="Times New Roman"/>
          <w:color w:val="auto"/>
          <w:szCs w:val="22"/>
          <w:highlight w:val="none"/>
          <w:u w:val="none"/>
        </w:rPr>
        <w:t>；</w:t>
      </w:r>
    </w:p>
    <w:p w14:paraId="4A38DB77">
      <w:pPr>
        <w:spacing w:line="400" w:lineRule="exact"/>
        <w:ind w:firstLine="315" w:firstLineChars="150"/>
        <w:rPr>
          <w:rFonts w:ascii="Times New Roman" w:hAnsi="Times New Roman"/>
          <w:color w:val="auto"/>
          <w:szCs w:val="22"/>
          <w:highlight w:val="none"/>
        </w:rPr>
      </w:pPr>
      <w:r>
        <w:rPr>
          <w:rFonts w:hint="default" w:ascii="Times New Roman" w:hAnsi="Times New Roman"/>
          <w:color w:val="auto"/>
          <w:szCs w:val="22"/>
          <w:highlight w:val="none"/>
          <w:u w:val="single"/>
        </w:rPr>
        <w:t>②在“信用中国”网站中未被列入严重失信主体名单、重大税收违法失信主体 （须提供“信用中国”网站查询结果网页截图）</w:t>
      </w:r>
      <w:r>
        <w:rPr>
          <w:rFonts w:ascii="Times New Roman" w:hAnsi="Times New Roman"/>
          <w:color w:val="auto"/>
          <w:szCs w:val="22"/>
          <w:highlight w:val="none"/>
        </w:rPr>
        <w:t>。</w:t>
      </w:r>
    </w:p>
    <w:p w14:paraId="6AAAD087">
      <w:pPr>
        <w:spacing w:line="400" w:lineRule="exact"/>
        <w:ind w:firstLine="315" w:firstLineChars="150"/>
        <w:rPr>
          <w:rFonts w:hint="default" w:ascii="Times New Roman" w:hAnsi="Times New Roman"/>
          <w:color w:val="auto"/>
          <w:szCs w:val="22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szCs w:val="22"/>
          <w:highlight w:val="none"/>
        </w:rPr>
        <w:t>（5）承担本项目的主要人员要求：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  <w:lang w:val="en-US" w:eastAsia="zh-CN"/>
        </w:rPr>
        <w:t>项目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</w:rPr>
        <w:t>负责人，1人，具有公路施工（或施工劳务）现场管理工作经验（提供合同协议书或总包单位/业主单位出具的证明文件）</w:t>
      </w:r>
      <w:r>
        <w:rPr>
          <w:rFonts w:hint="default" w:ascii="Times New Roman" w:hAnsi="Times New Roman"/>
          <w:color w:val="auto"/>
          <w:szCs w:val="22"/>
          <w:highlight w:val="none"/>
          <w:lang w:val="en-US" w:eastAsia="zh-CN"/>
        </w:rPr>
        <w:t>。</w:t>
      </w:r>
    </w:p>
    <w:p w14:paraId="09D17A8D">
      <w:pPr>
        <w:spacing w:line="400" w:lineRule="exact"/>
        <w:ind w:firstLine="315" w:firstLineChars="150"/>
        <w:rPr>
          <w:rFonts w:ascii="Times New Roman" w:hAnsi="Times New Roman"/>
          <w:color w:val="auto"/>
          <w:szCs w:val="22"/>
          <w:highlight w:val="none"/>
        </w:rPr>
      </w:pPr>
      <w:r>
        <w:rPr>
          <w:rFonts w:ascii="Times New Roman" w:hAnsi="Times New Roman"/>
          <w:color w:val="auto"/>
          <w:szCs w:val="22"/>
          <w:highlight w:val="none"/>
        </w:rPr>
        <w:t>（6）其他要求：</w:t>
      </w:r>
      <w:r>
        <w:rPr>
          <w:rFonts w:hint="default" w:ascii="Times New Roman" w:hAnsi="Times New Roman"/>
          <w:color w:val="auto"/>
          <w:szCs w:val="22"/>
          <w:highlight w:val="none"/>
          <w:u w:val="single"/>
        </w:rPr>
        <w:t>具有履行合同所必需的设备和专业技术能力（自行承诺）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  <w:lang w:eastAsia="zh-CN"/>
        </w:rPr>
        <w:t>，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  <w:lang w:val="en-US" w:eastAsia="zh-CN"/>
        </w:rPr>
        <w:t>加盖单位公章</w:t>
      </w:r>
      <w:r>
        <w:rPr>
          <w:rFonts w:ascii="Times New Roman" w:hAnsi="Times New Roman"/>
          <w:color w:val="auto"/>
          <w:szCs w:val="22"/>
          <w:highlight w:val="none"/>
        </w:rPr>
        <w:t>。</w:t>
      </w:r>
    </w:p>
    <w:p w14:paraId="2C7A90F3">
      <w:pPr>
        <w:spacing w:line="400" w:lineRule="exact"/>
        <w:ind w:firstLine="422" w:firstLineChars="200"/>
        <w:rPr>
          <w:rFonts w:ascii="Times New Roman" w:hAnsi="Times New Roman"/>
          <w:color w:val="auto"/>
          <w:szCs w:val="21"/>
          <w:highlight w:val="none"/>
        </w:rPr>
      </w:pPr>
      <w:r>
        <w:rPr>
          <w:rFonts w:hint="default" w:ascii="Times New Roman" w:hAnsi="Times New Roman"/>
          <w:b/>
          <w:bCs/>
          <w:color w:val="auto"/>
          <w:szCs w:val="21"/>
          <w:highlight w:val="none"/>
        </w:rPr>
        <w:t>3.2</w:t>
      </w:r>
      <w:r>
        <w:rPr>
          <w:rFonts w:ascii="Times New Roman" w:hAnsi="Times New Roman"/>
          <w:b/>
          <w:bCs/>
          <w:color w:val="auto"/>
          <w:szCs w:val="21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szCs w:val="21"/>
          <w:highlight w:val="none"/>
          <w:lang w:eastAsia="zh-CN"/>
        </w:rPr>
        <w:t>供应商</w:t>
      </w:r>
      <w:r>
        <w:rPr>
          <w:rFonts w:hint="default" w:ascii="Times New Roman" w:hAnsi="Times New Roman"/>
          <w:color w:val="auto"/>
          <w:szCs w:val="21"/>
          <w:highlight w:val="none"/>
        </w:rPr>
        <w:t>不得存在下列情形之一：</w:t>
      </w:r>
    </w:p>
    <w:p w14:paraId="6805370B">
      <w:pPr>
        <w:spacing w:line="400" w:lineRule="exact"/>
        <w:ind w:firstLine="420" w:firstLineChars="200"/>
        <w:rPr>
          <w:rFonts w:ascii="Times New Roman" w:hAnsi="Times New Roman"/>
          <w:color w:val="auto"/>
          <w:szCs w:val="21"/>
          <w:highlight w:val="none"/>
        </w:rPr>
      </w:pPr>
      <w:r>
        <w:rPr>
          <w:rFonts w:hint="default" w:ascii="Times New Roman" w:hAnsi="Times New Roman"/>
          <w:color w:val="auto"/>
          <w:szCs w:val="21"/>
          <w:highlight w:val="none"/>
        </w:rPr>
        <w:t>（</w:t>
      </w:r>
      <w:r>
        <w:rPr>
          <w:rFonts w:ascii="Times New Roman" w:hAnsi="Times New Roman"/>
          <w:color w:val="auto"/>
          <w:szCs w:val="21"/>
          <w:highlight w:val="none"/>
        </w:rPr>
        <w:t>1</w:t>
      </w:r>
      <w:r>
        <w:rPr>
          <w:rFonts w:hint="default" w:ascii="Times New Roman" w:hAnsi="Times New Roman"/>
          <w:color w:val="auto"/>
          <w:szCs w:val="21"/>
          <w:highlight w:val="none"/>
        </w:rPr>
        <w:t>）处于被责令停产停</w:t>
      </w:r>
      <w:r>
        <w:rPr>
          <w:rFonts w:ascii="Times New Roman" w:hAnsi="Times New Roman"/>
          <w:color w:val="auto"/>
          <w:szCs w:val="21"/>
          <w:highlight w:val="none"/>
        </w:rPr>
        <w:t>业</w:t>
      </w:r>
      <w:r>
        <w:rPr>
          <w:rFonts w:hint="default" w:ascii="Times New Roman" w:hAnsi="Times New Roman"/>
          <w:color w:val="auto"/>
          <w:szCs w:val="21"/>
          <w:highlight w:val="none"/>
        </w:rPr>
        <w:t>、</w:t>
      </w:r>
      <w:r>
        <w:rPr>
          <w:rFonts w:ascii="Times New Roman" w:hAnsi="Times New Roman"/>
          <w:color w:val="auto"/>
          <w:szCs w:val="21"/>
          <w:highlight w:val="none"/>
        </w:rPr>
        <w:t>暂扣或者吊销执照</w:t>
      </w:r>
      <w:r>
        <w:rPr>
          <w:rFonts w:hint="default" w:ascii="Times New Roman" w:hAnsi="Times New Roman"/>
          <w:color w:val="auto"/>
          <w:szCs w:val="21"/>
          <w:highlight w:val="none"/>
        </w:rPr>
        <w:t>、</w:t>
      </w:r>
      <w:r>
        <w:rPr>
          <w:rFonts w:ascii="Times New Roman" w:hAnsi="Times New Roman"/>
          <w:color w:val="auto"/>
          <w:szCs w:val="21"/>
          <w:highlight w:val="none"/>
        </w:rPr>
        <w:t>暂扣或者吊销许可证</w:t>
      </w:r>
      <w:r>
        <w:rPr>
          <w:rFonts w:hint="default" w:ascii="Times New Roman" w:hAnsi="Times New Roman"/>
          <w:color w:val="auto"/>
          <w:szCs w:val="21"/>
          <w:highlight w:val="none"/>
        </w:rPr>
        <w:t>、吊销资质证书状态（自行承诺）</w:t>
      </w:r>
      <w:r>
        <w:rPr>
          <w:rFonts w:ascii="Times New Roman" w:hAnsi="Times New Roman"/>
          <w:color w:val="auto"/>
          <w:szCs w:val="21"/>
          <w:highlight w:val="none"/>
        </w:rPr>
        <w:t>；</w:t>
      </w:r>
    </w:p>
    <w:p w14:paraId="69E4C9AF">
      <w:pPr>
        <w:spacing w:line="400" w:lineRule="exact"/>
        <w:ind w:firstLine="420" w:firstLineChars="200"/>
        <w:rPr>
          <w:rFonts w:ascii="Times New Roman" w:hAnsi="Times New Roman"/>
          <w:color w:val="auto"/>
          <w:szCs w:val="21"/>
          <w:highlight w:val="none"/>
        </w:rPr>
      </w:pPr>
      <w:r>
        <w:rPr>
          <w:rFonts w:ascii="Times New Roman" w:hAnsi="Times New Roman"/>
          <w:color w:val="auto"/>
          <w:szCs w:val="21"/>
          <w:highlight w:val="none"/>
        </w:rPr>
        <w:t>（</w:t>
      </w:r>
      <w:r>
        <w:rPr>
          <w:rFonts w:hint="default" w:ascii="Times New Roman" w:hAnsi="Times New Roman"/>
          <w:color w:val="auto"/>
          <w:szCs w:val="21"/>
          <w:highlight w:val="none"/>
        </w:rPr>
        <w:t>2</w:t>
      </w:r>
      <w:r>
        <w:rPr>
          <w:rFonts w:ascii="Times New Roman" w:hAnsi="Times New Roman"/>
          <w:color w:val="auto"/>
          <w:szCs w:val="21"/>
          <w:highlight w:val="none"/>
        </w:rPr>
        <w:t>）进入清算程序，或被宣告破产，或其他丧失履约能力的情形</w:t>
      </w:r>
      <w:r>
        <w:rPr>
          <w:rFonts w:hint="default" w:ascii="Times New Roman" w:hAnsi="Times New Roman"/>
          <w:color w:val="auto"/>
          <w:szCs w:val="21"/>
          <w:highlight w:val="none"/>
        </w:rPr>
        <w:t>（自行承诺）</w:t>
      </w:r>
      <w:r>
        <w:rPr>
          <w:rFonts w:ascii="Times New Roman" w:hAnsi="Times New Roman"/>
          <w:color w:val="auto"/>
          <w:szCs w:val="21"/>
          <w:highlight w:val="none"/>
        </w:rPr>
        <w:t>；</w:t>
      </w:r>
    </w:p>
    <w:p w14:paraId="55CFE3DD">
      <w:pPr>
        <w:spacing w:line="400" w:lineRule="exact"/>
        <w:ind w:firstLine="420" w:firstLineChars="200"/>
        <w:rPr>
          <w:rFonts w:hint="default" w:ascii="Times New Roman" w:hAnsi="Times New Roman" w:eastAsia="宋体"/>
          <w:color w:val="auto"/>
          <w:szCs w:val="21"/>
          <w:highlight w:val="none"/>
          <w:u w:val="single"/>
          <w:lang w:val="en-US" w:eastAsia="zh-CN"/>
        </w:rPr>
      </w:pPr>
      <w:r>
        <w:rPr>
          <w:rFonts w:ascii="Times New Roman" w:hAnsi="Times New Roman"/>
          <w:color w:val="auto"/>
          <w:szCs w:val="21"/>
          <w:highlight w:val="none"/>
        </w:rPr>
        <w:t>（</w:t>
      </w:r>
      <w:r>
        <w:rPr>
          <w:rFonts w:hint="default" w:ascii="Times New Roman" w:hAnsi="Times New Roman"/>
          <w:color w:val="auto"/>
          <w:szCs w:val="21"/>
          <w:highlight w:val="none"/>
        </w:rPr>
        <w:t>3</w:t>
      </w:r>
      <w:r>
        <w:rPr>
          <w:rFonts w:ascii="Times New Roman" w:hAnsi="Times New Roman"/>
          <w:color w:val="auto"/>
          <w:szCs w:val="21"/>
          <w:highlight w:val="none"/>
        </w:rPr>
        <w:t>）</w:t>
      </w:r>
      <w:r>
        <w:rPr>
          <w:rFonts w:hint="default" w:ascii="Times New Roman" w:hAnsi="Times New Roman"/>
          <w:color w:val="auto"/>
          <w:szCs w:val="21"/>
          <w:highlight w:val="none"/>
        </w:rPr>
        <w:t>其他：</w:t>
      </w:r>
      <w:r>
        <w:rPr>
          <w:rFonts w:hint="eastAsia" w:ascii="Times New Roman" w:hAnsi="Times New Roman"/>
          <w:color w:val="auto"/>
          <w:szCs w:val="21"/>
          <w:highlight w:val="none"/>
          <w:u w:val="none"/>
          <w:lang w:eastAsia="zh-CN"/>
        </w:rPr>
        <w:t>供应商</w:t>
      </w:r>
      <w:r>
        <w:rPr>
          <w:rFonts w:hint="default" w:ascii="Times New Roman" w:hAnsi="Times New Roman"/>
          <w:color w:val="auto"/>
          <w:szCs w:val="21"/>
          <w:highlight w:val="none"/>
          <w:u w:val="none"/>
        </w:rPr>
        <w:t>、</w:t>
      </w:r>
      <w:r>
        <w:rPr>
          <w:rFonts w:hint="eastAsia" w:ascii="Times New Roman" w:hAnsi="Times New Roman"/>
          <w:color w:val="auto"/>
          <w:szCs w:val="21"/>
          <w:highlight w:val="none"/>
          <w:u w:val="none"/>
          <w:lang w:eastAsia="zh-CN"/>
        </w:rPr>
        <w:t>供应商</w:t>
      </w:r>
      <w:r>
        <w:rPr>
          <w:rFonts w:hint="default" w:ascii="Times New Roman" w:hAnsi="Times New Roman"/>
          <w:color w:val="auto"/>
          <w:szCs w:val="21"/>
          <w:highlight w:val="none"/>
          <w:u w:val="none"/>
        </w:rPr>
        <w:t>的法定代表人、拟投入本项目的项目负责人近3年（指202</w:t>
      </w:r>
      <w:r>
        <w:rPr>
          <w:rFonts w:hint="eastAsia" w:ascii="Times New Roman" w:hAnsi="Times New Roman"/>
          <w:color w:val="auto"/>
          <w:szCs w:val="21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/>
          <w:color w:val="auto"/>
          <w:szCs w:val="21"/>
          <w:highlight w:val="none"/>
          <w:u w:val="none"/>
        </w:rPr>
        <w:t>年</w:t>
      </w:r>
      <w:r>
        <w:rPr>
          <w:rFonts w:hint="eastAsia" w:ascii="Times New Roman" w:hAnsi="Times New Roman"/>
          <w:color w:val="auto"/>
          <w:szCs w:val="21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/>
          <w:color w:val="auto"/>
          <w:szCs w:val="21"/>
          <w:highlight w:val="none"/>
          <w:u w:val="none"/>
        </w:rPr>
        <w:t>月1日起）未发生任何行贿犯罪行为（自行承诺）</w:t>
      </w:r>
      <w:r>
        <w:rPr>
          <w:rFonts w:hint="default" w:ascii="Times New Roman" w:hAnsi="Times New Roman"/>
          <w:color w:val="auto"/>
          <w:szCs w:val="21"/>
          <w:highlight w:val="none"/>
          <w:u w:val="none"/>
          <w:lang w:val="en-US" w:eastAsia="zh-CN"/>
        </w:rPr>
        <w:t>。</w:t>
      </w:r>
    </w:p>
    <w:p w14:paraId="0C5C3808">
      <w:pPr>
        <w:spacing w:line="400" w:lineRule="exact"/>
        <w:ind w:firstLine="422" w:firstLineChars="200"/>
        <w:jc w:val="left"/>
        <w:rPr>
          <w:rFonts w:ascii="Times New Roman" w:hAnsi="Times New Roman"/>
          <w:color w:val="auto"/>
          <w:szCs w:val="22"/>
          <w:highlight w:val="none"/>
        </w:rPr>
      </w:pPr>
      <w:r>
        <w:rPr>
          <w:rFonts w:ascii="Times New Roman" w:hAnsi="Times New Roman"/>
          <w:b/>
          <w:bCs/>
          <w:color w:val="auto"/>
          <w:szCs w:val="22"/>
          <w:highlight w:val="none"/>
        </w:rPr>
        <w:t>3.3</w:t>
      </w:r>
      <w:r>
        <w:rPr>
          <w:rFonts w:hint="default" w:ascii="Times New Roman" w:hAnsi="Times New Roman"/>
          <w:color w:val="auto"/>
          <w:szCs w:val="22"/>
          <w:highlight w:val="none"/>
        </w:rPr>
        <w:t xml:space="preserve"> 本次</w:t>
      </w:r>
      <w:r>
        <w:rPr>
          <w:rFonts w:hint="eastAsia" w:ascii="Times New Roman" w:hAnsi="Times New Roman"/>
          <w:color w:val="auto"/>
          <w:szCs w:val="22"/>
          <w:highlight w:val="none"/>
          <w:lang w:eastAsia="zh-CN"/>
        </w:rPr>
        <w:t>采购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</w:rPr>
        <w:t>不接受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/>
          <w:color w:val="auto"/>
          <w:szCs w:val="22"/>
          <w:highlight w:val="none"/>
        </w:rPr>
        <w:t>联合体。</w:t>
      </w:r>
    </w:p>
    <w:p w14:paraId="7BCEE9DA">
      <w:pPr>
        <w:pStyle w:val="8"/>
        <w:numPr>
          <w:ilvl w:val="255"/>
          <w:numId w:val="0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bookmarkStart w:id="22" w:name="_Toc3648"/>
      <w:bookmarkStart w:id="23" w:name="_Toc10014_WPSOffice_Level3"/>
      <w:bookmarkStart w:id="24" w:name="_Toc24146"/>
      <w:bookmarkStart w:id="25" w:name="_Toc1390"/>
      <w:bookmarkStart w:id="26" w:name="_Toc8068"/>
      <w:bookmarkStart w:id="27" w:name="_Toc28480"/>
      <w:bookmarkStart w:id="28" w:name="_Toc9984"/>
      <w:bookmarkStart w:id="29" w:name="_Toc22751"/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4.</w:t>
      </w:r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采购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文件的获取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6A76412B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</w:pPr>
      <w:bookmarkStart w:id="30" w:name="_Toc23613"/>
      <w:bookmarkStart w:id="31" w:name="_Toc18186_WPSOffice_Level3"/>
      <w:bookmarkStart w:id="32" w:name="_Toc9020"/>
      <w:bookmarkStart w:id="33" w:name="_Toc31973"/>
      <w:bookmarkStart w:id="34" w:name="_Toc21913"/>
      <w:bookmarkStart w:id="35" w:name="_Toc24628"/>
      <w:bookmarkStart w:id="36" w:name="_Toc10035"/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凡有意参加本次采购活动的，请于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31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日至202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日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每日上午9:00至12:00时，下午13:30至17:00时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（北京时间）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在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贵州省贵阳市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花溪大道中段12号贵州建养公路技术咨询有限公司招标服务中心201办公室，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持盖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单位公章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的营业执照、授权委托书或法人身份证明(授权委托书或法人身份证明应载有单位信息，经办人员的姓名、身份证、电话、邮箱等信息)及经办人身份证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原件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领取采购文件。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  <w:t>采购代理工作人员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审核资料合格后，现场发放采购文件。</w:t>
      </w:r>
      <w:bookmarkStart w:id="37" w:name="_Toc16224"/>
    </w:p>
    <w:p w14:paraId="55F643BF">
      <w:pPr>
        <w:pStyle w:val="8"/>
        <w:numPr>
          <w:ilvl w:val="255"/>
          <w:numId w:val="0"/>
        </w:numPr>
        <w:spacing w:before="260" w:after="26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响应文件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的递交</w:t>
      </w:r>
      <w:bookmarkEnd w:id="37"/>
    </w:p>
    <w:p w14:paraId="27CF45EB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</w:pPr>
      <w:r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</w:rPr>
        <w:t xml:space="preserve">5.1 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响应文件递交的截止时间（投标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lang w:val="en-US" w:eastAsia="zh-CN"/>
        </w:rPr>
        <w:t>响应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截止时间，下同）为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 xml:space="preserve">日 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14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 xml:space="preserve"> 时 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00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分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（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供应商应提前半小时递交响应文件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，响应文件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  <w:t>纸质文件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递交地址：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贵州省贵阳市花溪大道中段12号贵州建养公路技术咨询有限公司招标服务中心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开标室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。</w:t>
      </w:r>
    </w:p>
    <w:p w14:paraId="55F430B4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</w:rPr>
      </w:pPr>
      <w:r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</w:rPr>
        <w:t xml:space="preserve">5.2 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逾期递交的或者未按照采购文件要求递交的响应文件，将予以拒收。</w:t>
      </w:r>
    </w:p>
    <w:p w14:paraId="6BB1F53E">
      <w:pPr>
        <w:pStyle w:val="8"/>
        <w:numPr>
          <w:ilvl w:val="255"/>
          <w:numId w:val="0"/>
        </w:numPr>
        <w:spacing w:before="260" w:after="260" w:line="240" w:lineRule="auto"/>
        <w:ind w:firstLine="0" w:firstLineChars="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kern w:val="0"/>
          <w:sz w:val="32"/>
          <w:szCs w:val="32"/>
          <w:highlight w:val="none"/>
          <w:lang w:eastAsia="zh-CN"/>
        </w:rPr>
      </w:pPr>
      <w:bookmarkStart w:id="38" w:name="_Toc14717"/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响应文件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开启时间和地点</w:t>
      </w:r>
      <w:bookmarkEnd w:id="38"/>
    </w:p>
    <w:p w14:paraId="25782625">
      <w:pPr>
        <w:pStyle w:val="8"/>
        <w:numPr>
          <w:ilvl w:val="0"/>
          <w:numId w:val="0"/>
        </w:numPr>
        <w:spacing w:before="260" w:after="260"/>
        <w:ind w:left="0" w:firstLine="440" w:firstLineChars="20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</w:pP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>同</w:t>
      </w:r>
      <w:r>
        <w:rPr>
          <w:rFonts w:hint="eastAsia" w:ascii="Times New Roman" w:hAnsi="Times New Roman"/>
          <w:szCs w:val="22"/>
          <w:highlight w:val="none"/>
          <w:lang w:bidi="ar"/>
        </w:rPr>
        <w:t>响应文件递交时间</w:t>
      </w: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>和地点</w:t>
      </w:r>
      <w:r>
        <w:rPr>
          <w:rFonts w:hint="eastAsia" w:ascii="Times New Roman" w:hAnsi="Times New Roman"/>
          <w:szCs w:val="22"/>
          <w:highlight w:val="none"/>
          <w:lang w:bidi="ar"/>
        </w:rPr>
        <w:t>。</w:t>
      </w:r>
      <w:bookmarkEnd w:id="30"/>
      <w:bookmarkEnd w:id="31"/>
      <w:bookmarkEnd w:id="32"/>
      <w:bookmarkEnd w:id="33"/>
      <w:bookmarkEnd w:id="34"/>
      <w:bookmarkEnd w:id="35"/>
      <w:bookmarkEnd w:id="36"/>
      <w:bookmarkStart w:id="39" w:name="_Toc24262"/>
      <w:bookmarkStart w:id="40" w:name="_Toc2943"/>
      <w:bookmarkStart w:id="41" w:name="_Toc28869_WPSOffice_Level3"/>
      <w:bookmarkStart w:id="42" w:name="_Toc27050"/>
      <w:bookmarkStart w:id="43" w:name="_Toc23168"/>
      <w:bookmarkStart w:id="44" w:name="_Toc31656"/>
      <w:bookmarkStart w:id="45" w:name="_Toc11882"/>
      <w:bookmarkStart w:id="46" w:name="_Toc26618"/>
    </w:p>
    <w:p w14:paraId="3895DAF0">
      <w:pPr>
        <w:pStyle w:val="8"/>
        <w:numPr>
          <w:ilvl w:val="0"/>
          <w:numId w:val="0"/>
        </w:numPr>
        <w:spacing w:before="260" w:after="260"/>
        <w:ind w:left="0" w:firstLine="0"/>
        <w:outlineLvl w:val="1"/>
        <w:rPr>
          <w:rFonts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7</w:t>
      </w:r>
      <w:r>
        <w:rPr>
          <w:rFonts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  <w:t>发布公告的媒介</w:t>
      </w:r>
      <w:bookmarkEnd w:id="39"/>
    </w:p>
    <w:p w14:paraId="5F6166FB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</w:pP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本</w:t>
      </w:r>
      <w:r>
        <w:rPr>
          <w:rFonts w:hint="eastAsia" w:ascii="Times New Roman" w:hAnsi="Times New Roman" w:cs="Times New Roman"/>
          <w:color w:val="auto"/>
          <w:spacing w:val="0"/>
          <w:sz w:val="21"/>
          <w:szCs w:val="22"/>
          <w:highlight w:val="none"/>
          <w:u w:val="none"/>
          <w:lang w:val="en-US" w:eastAsia="zh-CN" w:bidi="ar"/>
        </w:rPr>
        <w:t>采购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公告在</w:t>
      </w:r>
      <w:r>
        <w:rPr>
          <w:rFonts w:hint="eastAsia" w:ascii="Times New Roman" w:hAnsi="Times New Roman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/>
          <w:szCs w:val="21"/>
          <w:highlight w:val="none"/>
          <w:u w:val="single"/>
        </w:rPr>
        <w:t>贵州省公路建设养护集团有限公司门户网站</w:t>
      </w:r>
      <w:r>
        <w:rPr>
          <w:rFonts w:hint="eastAsia" w:ascii="Times New Roman" w:hAnsi="Times New Roman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（发布公告的媒介名称）</w:t>
      </w:r>
      <w:r>
        <w:rPr>
          <w:rFonts w:hint="default" w:ascii="Times New Roman" w:hAnsi="Times New Roman" w:cs="Times New Roman"/>
          <w:color w:val="auto"/>
          <w:spacing w:val="0"/>
          <w:sz w:val="21"/>
          <w:szCs w:val="22"/>
          <w:highlight w:val="none"/>
          <w:u w:val="none"/>
          <w:lang w:val="en-US" w:eastAsia="zh-CN" w:bidi="ar"/>
        </w:rPr>
        <w:t>网站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上发布。</w:t>
      </w:r>
    </w:p>
    <w:p w14:paraId="74E0085D">
      <w:pPr>
        <w:pStyle w:val="8"/>
        <w:numPr>
          <w:ilvl w:val="0"/>
          <w:numId w:val="0"/>
        </w:numPr>
        <w:spacing w:before="0" w:after="0" w:line="360" w:lineRule="auto"/>
        <w:outlineLvl w:val="9"/>
        <w:rPr>
          <w:rFonts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8</w:t>
      </w:r>
      <w:r>
        <w:rPr>
          <w:rFonts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  <w:t>其他</w:t>
      </w:r>
    </w:p>
    <w:p w14:paraId="6B050D5F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8.1本项目采用综合评分法进行评审。</w:t>
      </w:r>
    </w:p>
    <w:p w14:paraId="7EEE83A3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color w:val="auto"/>
          <w:sz w:val="21"/>
          <w:szCs w:val="22"/>
          <w:highlight w:val="none"/>
          <w:u w:val="none"/>
          <w:lang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8.2本项目采用线下纸质标方式进行招采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，供应商应在规定时间和地点递交纸质响应文件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。</w:t>
      </w:r>
    </w:p>
    <w:bookmarkEnd w:id="40"/>
    <w:bookmarkEnd w:id="41"/>
    <w:bookmarkEnd w:id="42"/>
    <w:bookmarkEnd w:id="43"/>
    <w:bookmarkEnd w:id="44"/>
    <w:bookmarkEnd w:id="45"/>
    <w:bookmarkEnd w:id="46"/>
    <w:p w14:paraId="6A92F245">
      <w:pPr>
        <w:pStyle w:val="8"/>
        <w:numPr>
          <w:ilvl w:val="255"/>
          <w:numId w:val="0"/>
        </w:numP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9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、</w:t>
      </w:r>
      <w:bookmarkStart w:id="47" w:name="_Toc25037"/>
      <w:bookmarkStart w:id="48" w:name="_Toc27283"/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联系方式</w:t>
      </w:r>
      <w:bookmarkEnd w:id="47"/>
      <w:bookmarkEnd w:id="48"/>
    </w:p>
    <w:p w14:paraId="29ECF757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采购人：黔西南公路建设养护有限公司</w:t>
      </w:r>
    </w:p>
    <w:p w14:paraId="51850F6D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联系地址：贵州省黔西南州义龙新区顶效镇开发西路与顶效大道交汇处</w:t>
      </w:r>
    </w:p>
    <w:p w14:paraId="31CCB05C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项目联系人：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  <w:t>宋工</w:t>
      </w:r>
    </w:p>
    <w:p w14:paraId="5CA6CB41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联系电话：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  <w:t xml:space="preserve">18786863317 </w:t>
      </w:r>
    </w:p>
    <w:p w14:paraId="79878E5F">
      <w:pPr>
        <w:spacing w:line="500" w:lineRule="exact"/>
        <w:ind w:firstLine="420" w:firstLineChars="200"/>
        <w:jc w:val="left"/>
        <w:rPr>
          <w:rFonts w:hint="default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</w:pPr>
    </w:p>
    <w:p w14:paraId="53772763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  <w:t>采购代理</w:t>
      </w: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  <w:t>贵州建养公路技术咨询有限公司</w:t>
      </w:r>
    </w:p>
    <w:p w14:paraId="26EADE2C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地    址：贵州省贵阳市南明区花溪大道中段皂角井</w:t>
      </w:r>
    </w:p>
    <w:p w14:paraId="75776BDA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联 系 人：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val="en-US" w:eastAsia="zh-CN"/>
        </w:rPr>
        <w:t>陈豪、王龙</w:t>
      </w:r>
    </w:p>
    <w:p w14:paraId="3B3D75F1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电    话：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val="en-US" w:eastAsia="zh-CN"/>
        </w:rPr>
        <w:t>15348654613、13628504857</w:t>
      </w:r>
    </w:p>
    <w:p w14:paraId="6D3F5C30">
      <w:pPr>
        <w:spacing w:line="240" w:lineRule="auto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0E0F0944">
      <w:pPr>
        <w:spacing w:line="240" w:lineRule="auto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42866AF9">
      <w:pPr>
        <w:spacing w:line="240" w:lineRule="auto"/>
        <w:jc w:val="righ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20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年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月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31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日</w:t>
      </w:r>
    </w:p>
    <w:p w14:paraId="76D577B9"/>
    <w:sectPr>
      <w:pgSz w:w="11900" w:h="16830"/>
      <w:pgMar w:top="2098" w:right="1531" w:bottom="1984" w:left="1531" w:header="0" w:footer="1151" w:gutter="0"/>
      <w:pgNumType w:fmt="decimal"/>
      <w:cols w:space="0" w:num="1"/>
      <w:rtlGutter w:val="0"/>
      <w:docGrid w:type="lines"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BA29B2C9">
    <w:panose1 w:val="020B0503020000020004"/>
    <w:charset w:val="81"/>
    <w:family w:val="auto"/>
    <w:pitch w:val="default"/>
    <w:sig w:usb0="00000001" w:usb1="00000000" w:usb2="00000000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02D36B"/>
    <w:multiLevelType w:val="singleLevel"/>
    <w:tmpl w:val="BC02D36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143FA"/>
    <w:rsid w:val="0BA143FA"/>
    <w:rsid w:val="2334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40" w:lineRule="exact"/>
      <w:ind w:firstLine="560"/>
      <w:jc w:val="left"/>
    </w:pPr>
    <w:rPr>
      <w:rFonts w:ascii="Batang" w:hAnsi="Batang" w:eastAsia="方正仿宋简体" w:cstheme="minorBidi"/>
      <w:color w:val="000000"/>
      <w:sz w:val="28"/>
      <w:szCs w:val="22"/>
    </w:rPr>
  </w:style>
  <w:style w:type="paragraph" w:styleId="4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Normal_9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2026-03-30T13:17:00Z</dcterms:created>
  <dc:creator>Co</dc:creator>
  <cp:lastModifiedBy>Co</cp:lastModifiedBy>
  <dcterms:modified xsi:type="dcterms:W3CDTF">2026-03-30T13:18:29Z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00FC1D4236494C5B823222634067809A_11</vt:lpwstr>
  </property>
  <property fmtid="{D5CDD505-2E9C-101B-9397-08002B2CF9AE}" pid="4" name="KSOTemplateDocerSaveRecord">
    <vt:lpwstr>eyJoZGlkIjoiNTg3ZjQ3ZGYwZGIyMDFjMGRhZjUzMjBlYTkwMTMzZDYiLCJ1c2VySWQiOiI2ODY0NzQ4NzUifQ==</vt:lpwstr>
  </property>
</Properties>
</file>