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集团信息移动中台定制化开发服务采购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sz w:val="28"/>
          <w:szCs w:val="28"/>
          <w:u w:val="single"/>
          <w:lang w:val="en-US" w:eastAsia="zh-CN"/>
        </w:rPr>
        <w:t>贵州省公路建设养护集团有限公司集团信息移动中台定制化开发服务采购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第一供应商候选人：重庆若谷信息技术有限公司，报价246000元。</w:t>
      </w:r>
    </w:p>
    <w:p>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第二供应商候选人：贵州汉图数通信息技术有限公司，报价248000元。</w:t>
      </w:r>
    </w:p>
    <w:p>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28"/>
          <w:szCs w:val="28"/>
          <w:u w:val="none"/>
          <w:lang w:val="en-US" w:eastAsia="zh-CN"/>
        </w:rPr>
        <w:t>第三供应商候选人：广州市奔流电力科技有限公司，报价249000元。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公示时间：2024年7月5日至2024年7月8日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default" w:ascii="仿宋" w:hAnsi="仿宋" w:eastAsia="仿宋" w:cs="仿宋"/>
          <w:color w:val="333333"/>
          <w:kern w:val="2"/>
          <w:sz w:val="28"/>
          <w:szCs w:val="28"/>
          <w:shd w:val="clear" w:color="auto" w:fill="FFFFFF"/>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7月4日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B924F08"/>
    <w:rsid w:val="1C4D0882"/>
    <w:rsid w:val="1D0B1042"/>
    <w:rsid w:val="20472F58"/>
    <w:rsid w:val="23CB2E3F"/>
    <w:rsid w:val="24365CAC"/>
    <w:rsid w:val="26121BCD"/>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5AB21CBF"/>
    <w:rsid w:val="63137B19"/>
    <w:rsid w:val="67084528"/>
    <w:rsid w:val="67183D37"/>
    <w:rsid w:val="694A5EDE"/>
    <w:rsid w:val="6AE564D0"/>
    <w:rsid w:val="6B7C2CC1"/>
    <w:rsid w:val="6CDE35AF"/>
    <w:rsid w:val="76054663"/>
    <w:rsid w:val="777E4800"/>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435</Words>
  <Characters>486</Characters>
  <Lines>0</Lines>
  <Paragraphs>0</Paragraphs>
  <TotalTime>9</TotalTime>
  <ScaleCrop>false</ScaleCrop>
  <LinksUpToDate>false</LinksUpToDate>
  <CharactersWithSpaces>512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2024-07-04T06:20:32Z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