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  <w:bookmarkStart w:id="0" w:name="_Hlk164006224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广西交通投资集团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钦州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维修养护工程</w:t>
      </w:r>
      <w:bookmarkEnd w:id="0"/>
      <w:r>
        <w:rPr>
          <w:rFonts w:hint="eastAsia"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  <w:t>项目招标公告</w:t>
      </w:r>
    </w:p>
    <w:p>
      <w:pPr>
        <w:widowControl/>
        <w:shd w:val="clear" w:color="auto" w:fill="FFFFFF"/>
        <w:jc w:val="center"/>
        <w:rPr>
          <w:rFonts w:ascii="仿宋_GB2312" w:hAnsi="新宋体" w:eastAsia="仿宋_GB2312" w:cs="新宋体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1、招标条件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本次招标项目为广西交通投资集团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钦州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高速公路运营有限公司2024年高速公路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路面专项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维修养护工程。项目已具备招标条件，现对该项目的施工进行公开招标。本次招标采用公开招标方式。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2、项目概况与招标范围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2.1 广西交通投资集团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钦州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高速公路运营有限公司所辖路段如下：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1.标段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概况：本标段包括广西交通投资集团钦州高速公路运营有限公司所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有管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辖路段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eastAsia="zh-CN" w:bidi="ar"/>
        </w:rPr>
        <w:t>。</w:t>
      </w:r>
    </w:p>
    <w:tbl>
      <w:tblPr>
        <w:tblStyle w:val="9"/>
        <w:tblW w:w="84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2658"/>
        <w:gridCol w:w="3919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路线桩号</w:t>
            </w:r>
          </w:p>
        </w:tc>
        <w:tc>
          <w:tcPr>
            <w:tcW w:w="3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bidi="ar"/>
              </w:rPr>
              <w:t>路线名称</w:t>
            </w:r>
          </w:p>
        </w:tc>
        <w:tc>
          <w:tcPr>
            <w:tcW w:w="1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路线全长（km）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S60，K141+856～K271+416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钦那高速（钦州至崇左段）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129.560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S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，K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～K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183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+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134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宾钦高速（六景至钦州港段）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139.134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滨海公路犀大段、龙门大桥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西引道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滨海公路（一级路）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20.018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K0+000～K61+533、K0+000～K3+440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吴圩至上思连接线、七门连接线（二级路）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64.973</w:t>
            </w:r>
          </w:p>
        </w:tc>
      </w:tr>
    </w:tbl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2.2 招标范围：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hint="default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标段范围内的路面专项维修养护，并配合发包人完成指定的工程抢险维修等，具体详见工程量清单。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2.3 计划工期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190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日历天，计划开工时间：以业主开工令下达的时间为准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3、投标人资格要求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3.1 本次招标要求投标人须具备相关资质，并在人员、设备、资金等方面具有相应的施工能力。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3.2 本次招标不接受联合体投标。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4、招标文件的获取</w:t>
      </w:r>
    </w:p>
    <w:p>
      <w:pPr>
        <w:widowControl/>
        <w:shd w:val="clear" w:color="auto" w:fill="FFFFFF"/>
        <w:spacing w:after="150"/>
        <w:ind w:firstLine="42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凡有意参加投标者，请于2024年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日至2024年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日，每日上午9时0分至12时00分，下午14时0分至17时00分时止，在</w:t>
      </w:r>
      <w:bookmarkStart w:id="1" w:name="_Hlk164157876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广西壮族自治区南宁市青秀区佛子岭路德利国际A2座2202</w:t>
      </w:r>
      <w:bookmarkEnd w:id="1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持有效身份证及公司营业执照获取招标文件。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5、投标文件的递交及相关事宜</w:t>
      </w:r>
    </w:p>
    <w:p>
      <w:pPr>
        <w:widowControl/>
        <w:shd w:val="clear" w:color="auto" w:fill="FFFFFF"/>
        <w:spacing w:after="150"/>
        <w:ind w:firstLine="411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递交投标文件的截止时间为2024年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日9时30分，投标人应于2024年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24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日9时30分之前，将投标文件递交至广西壮族自治区南宁市青秀区佛子岭路德利国际A2座2202。逾期送达的或者未送达指定地点的投标文件，招标人不予受理。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6、发布公告的媒介</w:t>
      </w:r>
    </w:p>
    <w:p>
      <w:pPr>
        <w:widowControl/>
        <w:shd w:val="clear" w:color="auto" w:fill="FFFFFF"/>
        <w:spacing w:after="150"/>
        <w:ind w:firstLine="480" w:firstLineChars="20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本次招标公告在贵州省公路建设养护集团有限公司网站（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https://glj.guizhou.gov.cn/glzz/sgljsyhjtyxgs/xwzx_5377965/tzgg_5377973/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）上发布。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7、投诉举报的处理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7.1 对招标文件条款有异议的应当在投标截止时间3日前向招标人提出，否则招标人不予受理。</w:t>
      </w:r>
    </w:p>
    <w:p>
      <w:pPr>
        <w:widowControl/>
        <w:shd w:val="clear" w:color="auto" w:fill="FFFFFF"/>
        <w:spacing w:after="150"/>
        <w:ind w:firstLine="413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7.2 投标人或者利害关系人认为招标投标活动不符合法律、行政法规规定的，可以向招标人提出异议或向集团公司纪检监查室投诉。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b/>
          <w:kern w:val="0"/>
          <w:sz w:val="24"/>
          <w:shd w:val="clear" w:color="auto" w:fill="FFFFFF"/>
          <w:lang w:bidi="ar"/>
        </w:rPr>
        <w:t>8、联系方式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招 标 人：贵州高速黔通建设工程有限公司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地   址：广西壮族自治区南宁市青秀区佛子岭路德利国际A2座2202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邮   编：</w:t>
      </w:r>
      <w:r>
        <w:rPr>
          <w:rFonts w:ascii="仿宋_GB2312" w:hAnsi="新宋体" w:eastAsia="仿宋_GB2312" w:cs="新宋体"/>
          <w:kern w:val="0"/>
          <w:sz w:val="24"/>
          <w:shd w:val="clear" w:color="auto" w:fill="FFFFFF"/>
          <w:lang w:bidi="ar"/>
        </w:rPr>
        <w:t>530022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联 系 人：冯利</w:t>
      </w:r>
    </w:p>
    <w:p>
      <w:pPr>
        <w:widowControl/>
        <w:shd w:val="clear" w:color="auto" w:fill="FFFFFF"/>
        <w:spacing w:after="150"/>
        <w:jc w:val="lef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电   话：13312495832</w:t>
      </w:r>
    </w:p>
    <w:p>
      <w:pPr>
        <w:widowControl/>
        <w:shd w:val="clear" w:color="auto" w:fill="FFFFFF"/>
        <w:spacing w:after="150"/>
        <w:jc w:val="right"/>
        <w:rPr>
          <w:rFonts w:ascii="仿宋_GB2312" w:eastAsia="仿宋_GB2312"/>
        </w:rPr>
      </w:pP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2024年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月</w:t>
      </w:r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val="en-US" w:eastAsia="zh-CN" w:bidi="ar"/>
        </w:rPr>
        <w:t>18</w:t>
      </w:r>
      <w:bookmarkStart w:id="2" w:name="_GoBack"/>
      <w:bookmarkEnd w:id="2"/>
      <w:r>
        <w:rPr>
          <w:rFonts w:hint="eastAsia" w:ascii="仿宋_GB2312" w:hAnsi="新宋体" w:eastAsia="仿宋_GB2312" w:cs="新宋体"/>
          <w:kern w:val="0"/>
          <w:sz w:val="24"/>
          <w:shd w:val="clear" w:color="auto" w:fill="FFFFFF"/>
          <w:lang w:bidi="ar"/>
        </w:rPr>
        <w:t>日</w:t>
      </w:r>
    </w:p>
    <w:p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A3N2Y2YWI0OGM3Y2I1YTkyNzZmOWM4MWYwOGEifQ=="/>
  </w:docVars>
  <w:rsids>
    <w:rsidRoot w:val="00412CD3"/>
    <w:rsid w:val="00412CD3"/>
    <w:rsid w:val="004D0AC8"/>
    <w:rsid w:val="0060111D"/>
    <w:rsid w:val="007005E0"/>
    <w:rsid w:val="00771C98"/>
    <w:rsid w:val="007B6CE1"/>
    <w:rsid w:val="009E6835"/>
    <w:rsid w:val="00B53738"/>
    <w:rsid w:val="00B71D30"/>
    <w:rsid w:val="10200A82"/>
    <w:rsid w:val="1CD736DF"/>
    <w:rsid w:val="238D7B9A"/>
    <w:rsid w:val="2DCC0F8C"/>
    <w:rsid w:val="3AA76CC6"/>
    <w:rsid w:val="71C80B3D"/>
    <w:rsid w:val="7967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tabs>
        <w:tab w:val="left" w:pos="1200"/>
        <w:tab w:val="left" w:pos="2530"/>
      </w:tabs>
      <w:adjustRightInd w:val="0"/>
      <w:snapToGrid w:val="0"/>
      <w:spacing w:before="100" w:beforeLines="100" w:after="50" w:afterLines="50" w:line="360" w:lineRule="auto"/>
      <w:ind w:left="2530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0"/>
    <w:pPr>
      <w:autoSpaceDE w:val="0"/>
      <w:autoSpaceDN w:val="0"/>
      <w:adjustRightInd w:val="0"/>
      <w:ind w:left="-84" w:leftChars="-40" w:right="-120" w:rightChars="-57"/>
      <w:jc w:val="center"/>
    </w:pPr>
    <w:rPr>
      <w:rFonts w:ascii="宋体"/>
      <w:color w:val="000000"/>
      <w:kern w:val="0"/>
      <w:szCs w:val="2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1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1126</Characters>
  <Lines>16</Lines>
  <Paragraphs>4</Paragraphs>
  <TotalTime>4</TotalTime>
  <ScaleCrop>false</ScaleCrop>
  <LinksUpToDate>false</LinksUpToDate>
  <CharactersWithSpaces>1146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2020-03-30T07:49:00Z</dcterms:created>
  <dc:creator>jf</dc:creator>
  <cp:lastModifiedBy>en</cp:lastModifiedBy>
  <dcterms:modified xsi:type="dcterms:W3CDTF">2024-06-13T09:43:20Z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036CF9C5F5FC4604A612074164D72B12_13</vt:lpwstr>
  </property>
</Properties>
</file>