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广西交通投资集团崇左</w:t>
      </w:r>
      <w:bookmarkStart w:id="2" w:name="_GoBack"/>
      <w:bookmarkEnd w:id="2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本次招标项目为广西交通投资集团崇左高速公路运营有限公司2024年高速公路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广西交通投资集团崇左高速公路运营有限公司所辖路段如下：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合同段位于南宁至友谊关高速公路G7211：K61+000至K241+063、崇左至靖西高速S60：K271+416至K419+052、崇左至水口高速公路S62：K0+000至K71+541、崇左绕城段S6001：RK0+000至RK16+729、巴马至凭祥高速公路东平至凭祥段 S65：K100+467+000~K284+019。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南宁至友谊关高速公路G7211：K61+000至K241+063，主线全长180.063km，双向四车道，沥青混凝土路面，包括吴圩立交、苏圩立交、扶绥立交、渠黎立交、渠旧立交、崇左立交、天西立交、花山立交、宁明立交、夏石立交、凭祥平交、南山立交、浦寨立交、友谊关立交，及扶绥、崇左、宁明、凭祥服务区4处，收费站11处，苏圩联线4.548km、扶绥联线5.007km、崇左联线1.2675 km。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崇左至靖西高速S60：K271+416至K380+825沿线。其中主线全长109.409km，为双向四车道，主线采用沥青混凝土路面结构（4cm厚AC-13C+6cm厚AC-20C+8cm厚AC-25C+1cm厚同步沥青碎石封层+33cm厚水泥稳定碎石上基层+20cm厚水泥稳定碎石下基层+20cm厚级配碎石底基层）。包括元井枢纽互通式立交1处，崇左东、崇左北、新和、大新、大新西、天等、德天互通式立交7处，新和、大新服务区2处，雷平、福新、停车区2处，匝道收费站7处，及天等连接线37.841km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崇左至水口高速公路：崇左至水口高速公路由崇左绕城段、崇左至水口段组成。崇左绕城段位于崇左市江州区和宁明县境内。S6001：起点RK0+000位于宁明县亭亮乡辉村附近，终点RK16+729位于江州区太平街道办马安村附近，路线长16.729km。沥青路面，采用双向四车道高速公路标准，路基宽26米。包括辉村枢纽互通、马安枢纽互通、崇左西互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崇左至水口段位于崇左市江州区、宁明县、龙州县境内。S62：起点K0+000位于龙州县水口镇水口附近，终点K71+541位于宁明县亭亮乡亭心村附近，路线长71.541km。沥青路面，其中K37+356~K40+356为排水沥青混凝土路面，采用双向四车道高速公路标准，路基宽26米。包括下冻互通、龙州互通、上金互通、亭心枢纽互通，花山服务区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巴马至凭祥高速公路东平至凭祥段 S65：巴马至凭祥高速公路东平至凭祥段（以下简称“巴凭路东平至凭祥段”）包含东平经天等至大新段（桩号：K100+467～K139+476）及大新经龙州至凭祥段（桩号：K139+476～K284+019），路线长183.552km。起点位于天等东平镇，途径天等、大新、江州、龙州、凭祥等县市（区），终点在凭祥市上石镇与南友高速立体交叉。巴凭路东平至凭祥段桥隧比为 32.1%，沥青路面，双向四车道，路面结构：4cm 厚 AC-13 沥青混凝土+6cm 厚 AC-20 沥青混凝土+8cm 厚 AC-25 沥青混凝土。包括东平、天等北、天等南、大新北、逐卜、上龙、龙州西、上降等8个收费站，天等北、大新东、弄岗、龙州南等 4 对服务区和小山、三伦、金塘、上石4个枢纽互通，并含部分连接线。2.2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190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18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A3N2Y2YWI0OGM3Y2I1YTkyNzZmOWM4MWYwOG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0DCE61E5"/>
    <w:rsid w:val="238D7B9A"/>
    <w:rsid w:val="488335C8"/>
    <w:rsid w:val="79676103"/>
    <w:rsid w:val="7B6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6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1723</Words>
  <Characters>2192</Characters>
  <Lines>16</Lines>
  <Paragraphs>4</Paragraphs>
  <TotalTime>77</TotalTime>
  <ScaleCrop>false</ScaleCrop>
  <LinksUpToDate>false</LinksUpToDate>
  <CharactersWithSpaces>2227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2024-06-13T09:40:31Z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CD03CD2AAE2A4126A6D93B769D85C733_13</vt:lpwstr>
  </property>
</Properties>
</file>