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贵阳分公司清镇市</w:t>
      </w:r>
      <w:r>
        <w:rPr>
          <w:rFonts w:hint="eastAsia" w:ascii="方正小标宋简体" w:hAnsi="方正小标宋简体" w:eastAsia="方正小标宋简体" w:cs="方正小标宋简体"/>
          <w:spacing w:val="0"/>
          <w:sz w:val="44"/>
          <w:szCs w:val="44"/>
          <w:lang w:val="en-US" w:eastAsia="zh-CN"/>
        </w:rPr>
        <w:t>东门桥门面</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清镇市东门桥门面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清镇市前进路563号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门面170.6㎡。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门面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门面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3.2万</w:t>
      </w:r>
      <w:r>
        <w:rPr>
          <w:rFonts w:hint="eastAsia" w:ascii="仿宋" w:hAnsi="仿宋" w:eastAsia="仿宋" w:cs="仿宋"/>
          <w:color w:val="auto"/>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 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bookmarkStart w:id="0" w:name="_GoBack"/>
      <w:bookmarkEnd w:id="0"/>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F573C5"/>
    <w:rsid w:val="1EC625F6"/>
    <w:rsid w:val="21DE32F1"/>
    <w:rsid w:val="26B24DF9"/>
    <w:rsid w:val="26E74533"/>
    <w:rsid w:val="27FF5229"/>
    <w:rsid w:val="296B5DDA"/>
    <w:rsid w:val="34CB3C31"/>
    <w:rsid w:val="3A0C5FFF"/>
    <w:rsid w:val="3DFB0CB0"/>
    <w:rsid w:val="410F01F6"/>
    <w:rsid w:val="44827761"/>
    <w:rsid w:val="46125342"/>
    <w:rsid w:val="47F1683C"/>
    <w:rsid w:val="4A9D296A"/>
    <w:rsid w:val="4AF65C4A"/>
    <w:rsid w:val="560A57B9"/>
    <w:rsid w:val="579C4AA3"/>
    <w:rsid w:val="587A1D11"/>
    <w:rsid w:val="5B6149A0"/>
    <w:rsid w:val="5DAC7DE3"/>
    <w:rsid w:val="61EC77D1"/>
    <w:rsid w:val="63E33011"/>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1636</Words>
  <Characters>1774</Characters>
  <Lines>0</Lines>
  <Paragraphs>0</Paragraphs>
  <TotalTime>22</TotalTime>
  <ScaleCrop>false</ScaleCrop>
  <LinksUpToDate>false</LinksUpToDate>
  <CharactersWithSpaces>1826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2024-04-07T01:30:21Z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F8BF04C85EC94469807042E21A3BB6B1</vt:lpwstr>
  </property>
</Properties>
</file>